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251327519"/>
    <w:bookmarkStart w:id="1" w:name="_Toc223498531"/>
    <w:bookmarkStart w:id="2" w:name="_Toc223495575"/>
    <w:p w14:paraId="42C03EFE" w14:textId="0812B379" w:rsidR="00F1429D" w:rsidRDefault="0012684F" w:rsidP="00F1429D">
      <w:pPr>
        <w:pStyle w:val="Subttol"/>
        <w:ind w:left="4820"/>
        <w:jc w:val="left"/>
        <w:rPr>
          <w:color w:val="FFFFFF" w:themeColor="background1"/>
          <w:sz w:val="48"/>
          <w:szCs w:val="48"/>
        </w:rPr>
      </w:pPr>
      <w:r>
        <w:rPr>
          <w:noProof/>
          <w:color w:val="FFFFFF" w:themeColor="background1"/>
          <w:sz w:val="48"/>
          <w:szCs w:val="48"/>
        </w:rPr>
        <mc:AlternateContent>
          <mc:Choice Requires="wps">
            <w:drawing>
              <wp:anchor distT="0" distB="0" distL="114300" distR="114300" simplePos="0" relativeHeight="251687936" behindDoc="1" locked="0" layoutInCell="1" allowOverlap="1" wp14:anchorId="78B53C6E" wp14:editId="501DBD08">
                <wp:simplePos x="0" y="0"/>
                <wp:positionH relativeFrom="column">
                  <wp:posOffset>-739049</wp:posOffset>
                </wp:positionH>
                <wp:positionV relativeFrom="paragraph">
                  <wp:posOffset>-898798</wp:posOffset>
                </wp:positionV>
                <wp:extent cx="7586345" cy="10696575"/>
                <wp:effectExtent l="0" t="0" r="0" b="0"/>
                <wp:wrapNone/>
                <wp:docPr id="61" name="Rectangle 61"/>
                <wp:cNvGraphicFramePr/>
                <a:graphic xmlns:a="http://schemas.openxmlformats.org/drawingml/2006/main">
                  <a:graphicData uri="http://schemas.microsoft.com/office/word/2010/wordprocessingShape">
                    <wps:wsp>
                      <wps:cNvSpPr/>
                      <wps:spPr>
                        <a:xfrm>
                          <a:off x="0" y="0"/>
                          <a:ext cx="7586345" cy="10696575"/>
                        </a:xfrm>
                        <a:prstGeom prst="rect">
                          <a:avLst/>
                        </a:prstGeom>
                        <a:solidFill>
                          <a:srgbClr val="1D9E9E">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95461" id="Rectangle 61" o:spid="_x0000_s1026" style="position:absolute;margin-left:-58.2pt;margin-top:-70.75pt;width:597.35pt;height:84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" fillcolor="#1d9e9e" stroked="f" strokeweight="1pt">
                <v:fill opacity="52428f"/>
              </v:rect>
            </w:pict>
          </mc:Fallback>
        </mc:AlternateContent>
      </w:r>
    </w:p>
    <w:p w14:paraId="26478016" w14:textId="438A6919" w:rsidR="00F1429D" w:rsidRDefault="00F1429D" w:rsidP="00F1429D">
      <w:pPr>
        <w:pStyle w:val="Subttol"/>
        <w:ind w:left="4820"/>
        <w:jc w:val="left"/>
        <w:rPr>
          <w:color w:val="FFFFFF" w:themeColor="background1"/>
          <w:sz w:val="48"/>
          <w:szCs w:val="48"/>
        </w:rPr>
      </w:pPr>
    </w:p>
    <w:p w14:paraId="29155D21" w14:textId="553142F8" w:rsidR="00F1429D" w:rsidRDefault="00F1429D" w:rsidP="00F1429D">
      <w:pPr>
        <w:pStyle w:val="Subttol"/>
        <w:ind w:left="4820"/>
        <w:jc w:val="left"/>
        <w:rPr>
          <w:color w:val="FFFFFF" w:themeColor="background1"/>
          <w:sz w:val="48"/>
          <w:szCs w:val="48"/>
        </w:rPr>
      </w:pPr>
    </w:p>
    <w:p w14:paraId="65F33B4F" w14:textId="38C21A8B" w:rsidR="00F1429D" w:rsidRDefault="00D1199C" w:rsidP="00DE0EB6">
      <w:pPr>
        <w:pStyle w:val="Subttol"/>
        <w:jc w:val="left"/>
        <w:rPr>
          <w:color w:val="FFFFFF" w:themeColor="background1"/>
          <w:sz w:val="48"/>
          <w:szCs w:val="48"/>
        </w:rPr>
      </w:pPr>
      <w:r>
        <w:rPr>
          <w:color w:val="FFFFFF" w:themeColor="background1"/>
          <w:sz w:val="48"/>
          <w:szCs w:val="48"/>
        </w:rPr>
        <w:t>Guía del usuario de la herramienta de</w:t>
      </w:r>
    </w:p>
    <w:p w14:paraId="3CFCF10A" w14:textId="77777777" w:rsidR="00DE0EB6" w:rsidRPr="00340EC0" w:rsidRDefault="00D1199C" w:rsidP="00DE0EB6">
      <w:pPr>
        <w:pStyle w:val="Subttol"/>
        <w:ind w:right="-567"/>
        <w:jc w:val="left"/>
        <w:rPr>
          <w:color w:val="FFFFFF" w:themeColor="background1"/>
          <w:sz w:val="70"/>
          <w:szCs w:val="70"/>
        </w:rPr>
      </w:pPr>
      <w:r>
        <w:rPr>
          <w:b/>
          <w:color w:val="FFFFFF" w:themeColor="background1"/>
          <w:sz w:val="70"/>
          <w:szCs w:val="70"/>
        </w:rPr>
        <w:t>cálculo de costes del ciclo de vida (CCV)</w:t>
      </w:r>
      <w:r>
        <w:rPr>
          <w:color w:val="FFFFFF" w:themeColor="background1"/>
          <w:sz w:val="70"/>
          <w:szCs w:val="70"/>
        </w:rPr>
        <w:t xml:space="preserve"> </w:t>
      </w:r>
    </w:p>
    <w:p w14:paraId="7E8EB800" w14:textId="21DD2C65" w:rsidR="00D1199C" w:rsidRDefault="00D1199C" w:rsidP="00DE0EB6">
      <w:pPr>
        <w:pStyle w:val="Subttol"/>
        <w:ind w:right="-567"/>
        <w:jc w:val="left"/>
        <w:rPr>
          <w:color w:val="FFFFFF" w:themeColor="background1"/>
          <w:sz w:val="48"/>
          <w:szCs w:val="48"/>
        </w:rPr>
      </w:pPr>
      <w:r>
        <w:rPr>
          <w:color w:val="FFFFFF" w:themeColor="background1"/>
          <w:sz w:val="48"/>
          <w:szCs w:val="48"/>
        </w:rPr>
        <w:t>para la compra y contratación pública verde de</w:t>
      </w:r>
    </w:p>
    <w:p w14:paraId="4435C7A5" w14:textId="0C732806" w:rsidR="00D1199C" w:rsidRPr="00EC4A1F" w:rsidRDefault="00850DB7" w:rsidP="00DE0EB6">
      <w:pPr>
        <w:pStyle w:val="Subttol"/>
        <w:jc w:val="left"/>
        <w:rPr>
          <w:b/>
          <w:color w:val="FFFFFF" w:themeColor="background1"/>
          <w:sz w:val="70"/>
          <w:szCs w:val="70"/>
        </w:rPr>
      </w:pPr>
      <w:r>
        <w:rPr>
          <w:b/>
          <w:color w:val="FFFFFF" w:themeColor="background1"/>
          <w:sz w:val="70"/>
          <w:szCs w:val="70"/>
        </w:rPr>
        <w:t>iluminación interior</w:t>
      </w:r>
    </w:p>
    <w:bookmarkEnd w:id="0"/>
    <w:p w14:paraId="70A68581" w14:textId="77777777" w:rsidR="00340EC0" w:rsidRDefault="00340EC0" w:rsidP="00B96EEB"/>
    <w:p w14:paraId="67820F49" w14:textId="1C25FDBB" w:rsidR="00B96EEB" w:rsidRDefault="00491C55" w:rsidP="00B96EEB">
      <w:r>
        <w:rPr>
          <w:noProof/>
          <w:color w:val="FFFFFF" w:themeColor="background1"/>
          <w:sz w:val="48"/>
          <w:szCs w:val="48"/>
        </w:rPr>
        <w:drawing>
          <wp:anchor distT="0" distB="0" distL="114300" distR="114300" simplePos="0" relativeHeight="251657215" behindDoc="1" locked="0" layoutInCell="1" allowOverlap="1" wp14:anchorId="228A2B09" wp14:editId="77EC764C">
            <wp:simplePos x="0" y="0"/>
            <wp:positionH relativeFrom="column">
              <wp:posOffset>2175056</wp:posOffset>
            </wp:positionH>
            <wp:positionV relativeFrom="paragraph">
              <wp:posOffset>1970405</wp:posOffset>
            </wp:positionV>
            <wp:extent cx="4679950" cy="3733800"/>
            <wp:effectExtent l="0" t="0" r="6350" b="0"/>
            <wp:wrapNone/>
            <wp:docPr id="79" name="Imagen 4" descr="Captura de pantalla 2018-01-25 a las 14.0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ptura de pantalla 2018-01-25 a las 14.03.49.png"/>
                    <pic:cNvPicPr>
                      <a:picLocks noChangeAspect="1"/>
                    </pic:cNvPicPr>
                  </pic:nvPicPr>
                  <pic:blipFill>
                    <a:blip r:embed="rId8"/>
                    <a:srcRect r="940"/>
                    <a:stretch>
                      <a:fillRect/>
                    </a:stretch>
                  </pic:blipFill>
                  <pic:spPr bwMode="auto">
                    <a:xfrm>
                      <a:off x="0" y="0"/>
                      <a:ext cx="4679950" cy="3733800"/>
                    </a:xfrm>
                    <a:prstGeom prst="rect">
                      <a:avLst/>
                    </a:prstGeom>
                    <a:noFill/>
                    <a:ln w="9525">
                      <a:noFill/>
                      <a:miter lim="800000"/>
                      <a:headEnd/>
                      <a:tailEnd/>
                    </a:ln>
                  </pic:spPr>
                </pic:pic>
              </a:graphicData>
            </a:graphic>
          </wp:anchor>
        </w:drawing>
      </w:r>
    </w:p>
    <w:p w14:paraId="45409780" w14:textId="57D6A65E" w:rsidR="00B96EEB" w:rsidRDefault="00B96EEB" w:rsidP="00B96EEB">
      <w:pPr>
        <w:sectPr w:rsidR="00B96EEB" w:rsidSect="00D64D4C">
          <w:headerReference w:type="even" r:id="rId9"/>
          <w:headerReference w:type="default" r:id="rId10"/>
          <w:footerReference w:type="even" r:id="rId11"/>
          <w:footerReference w:type="default" r:id="rId12"/>
          <w:headerReference w:type="first" r:id="rId13"/>
          <w:footerReference w:type="first" r:id="rId14"/>
          <w:pgSz w:w="11907" w:h="16840" w:code="9"/>
          <w:pgMar w:top="1418" w:right="1134" w:bottom="851" w:left="1134" w:header="567" w:footer="567" w:gutter="0"/>
          <w:cols w:space="720"/>
        </w:sectPr>
      </w:pPr>
    </w:p>
    <w:p w14:paraId="2DBB45DB" w14:textId="210F19B5" w:rsidR="00D1199C" w:rsidRPr="00492B4C" w:rsidRDefault="00D1199C" w:rsidP="001040EB">
      <w:pPr>
        <w:pStyle w:val="Ttulo1"/>
        <w:pBdr>
          <w:bottom w:val="none" w:sz="0" w:space="0" w:color="auto"/>
        </w:pBdr>
        <w:spacing w:before="240"/>
      </w:pPr>
      <w:r>
        <w:lastRenderedPageBreak/>
        <w:t>La herramienta CCV para iluminación interior</w:t>
      </w:r>
    </w:p>
    <w:p w14:paraId="4F433C2A" w14:textId="539BED1F" w:rsidR="00750DD1" w:rsidRDefault="00750DD1" w:rsidP="00750DD1"/>
    <w:p w14:paraId="613927FD" w14:textId="77777777" w:rsidR="00D64D4C" w:rsidRDefault="00D64D4C" w:rsidP="00D1199C">
      <w:pPr>
        <w:pStyle w:val="Ttulo3"/>
        <w:jc w:val="left"/>
        <w:sectPr w:rsidR="00D64D4C" w:rsidSect="00CF1523">
          <w:headerReference w:type="default" r:id="rId15"/>
          <w:footerReference w:type="default" r:id="rId16"/>
          <w:pgSz w:w="11907" w:h="16840" w:code="9"/>
          <w:pgMar w:top="1418" w:right="1134" w:bottom="851" w:left="1134" w:header="567" w:footer="567" w:gutter="0"/>
          <w:pgNumType w:start="1"/>
          <w:cols w:space="720"/>
        </w:sectPr>
      </w:pPr>
    </w:p>
    <w:p w14:paraId="424D398F" w14:textId="38FD1C73" w:rsidR="00D1199C" w:rsidRPr="00492B4C" w:rsidRDefault="00D1199C" w:rsidP="00D1199C">
      <w:pPr>
        <w:pStyle w:val="Ttulo3"/>
        <w:jc w:val="left"/>
      </w:pPr>
      <w:r>
        <w:t>¿Para qué sirve la herramienta CCV?</w:t>
      </w:r>
    </w:p>
    <w:p w14:paraId="27A60901" w14:textId="5C8763F7" w:rsidR="00D1199C" w:rsidRPr="00257773" w:rsidRDefault="00D1199C" w:rsidP="00750DD1">
      <w:pPr>
        <w:rPr>
          <w:sz w:val="20"/>
          <w:szCs w:val="20"/>
        </w:rPr>
      </w:pPr>
      <w:r w:rsidRPr="00257773">
        <w:rPr>
          <w:sz w:val="20"/>
          <w:szCs w:val="20"/>
        </w:rPr>
        <w:t xml:space="preserve">La herramienta tiene como finalidad promover y facilitar la aplicación generalizada del análisis de costes del ciclo de vida (CCV) entre las </w:t>
      </w:r>
      <w:proofErr w:type="gramStart"/>
      <w:r w:rsidRPr="00257773">
        <w:rPr>
          <w:sz w:val="20"/>
          <w:szCs w:val="20"/>
        </w:rPr>
        <w:t>autoridades públicas</w:t>
      </w:r>
      <w:proofErr w:type="gramEnd"/>
      <w:r w:rsidRPr="00257773">
        <w:rPr>
          <w:sz w:val="20"/>
          <w:szCs w:val="20"/>
        </w:rPr>
        <w:t xml:space="preserve"> de la Unión Europea, para que las organizaciones puedan </w:t>
      </w:r>
      <w:r w:rsidRPr="00257773">
        <w:rPr>
          <w:b/>
          <w:sz w:val="20"/>
          <w:szCs w:val="20"/>
        </w:rPr>
        <w:t>tomar decisiones más rentables</w:t>
      </w:r>
      <w:r w:rsidRPr="00257773">
        <w:rPr>
          <w:sz w:val="20"/>
          <w:szCs w:val="20"/>
        </w:rPr>
        <w:t xml:space="preserve"> en sus procesos de adquisición de iluminación interior. </w:t>
      </w:r>
    </w:p>
    <w:p w14:paraId="27B42DFA" w14:textId="32647C5F" w:rsidR="00D1199C" w:rsidRPr="00257773" w:rsidRDefault="00D1199C" w:rsidP="00750DD1">
      <w:pPr>
        <w:rPr>
          <w:sz w:val="20"/>
          <w:szCs w:val="20"/>
        </w:rPr>
      </w:pPr>
      <w:r w:rsidRPr="00257773">
        <w:rPr>
          <w:sz w:val="20"/>
          <w:szCs w:val="20"/>
        </w:rPr>
        <w:t xml:space="preserve">El precio de compra es solo una pequeña fracción de todos los costos asociados a cualquier producto o servicio. Calcular los costes del ciclo de vida permite conocer los gastos futuros y elegir soluciones más rentables. Para hacerlo, la herramienta CCV considera lo siguiente: </w:t>
      </w:r>
    </w:p>
    <w:p w14:paraId="465495A7" w14:textId="0DBE3A01" w:rsidR="00D1199C" w:rsidRPr="00257773" w:rsidRDefault="00D1199C" w:rsidP="00750DD1">
      <w:pPr>
        <w:numPr>
          <w:ilvl w:val="0"/>
          <w:numId w:val="31"/>
        </w:numPr>
        <w:ind w:left="426" w:hanging="426"/>
        <w:rPr>
          <w:sz w:val="20"/>
          <w:szCs w:val="20"/>
        </w:rPr>
      </w:pPr>
      <w:r w:rsidRPr="00257773">
        <w:rPr>
          <w:b/>
          <w:sz w:val="20"/>
          <w:szCs w:val="20"/>
        </w:rPr>
        <w:t>Costes iniciales de adquisición</w:t>
      </w:r>
      <w:r w:rsidRPr="00257773">
        <w:rPr>
          <w:sz w:val="20"/>
          <w:szCs w:val="20"/>
        </w:rPr>
        <w:t xml:space="preserve"> (compra, instalación y otros costes iniciales), </w:t>
      </w:r>
    </w:p>
    <w:p w14:paraId="35FE0C99" w14:textId="0F357691" w:rsidR="00D1199C" w:rsidRPr="00257773" w:rsidRDefault="00D1199C" w:rsidP="00750DD1">
      <w:pPr>
        <w:numPr>
          <w:ilvl w:val="0"/>
          <w:numId w:val="31"/>
        </w:numPr>
        <w:ind w:left="426" w:hanging="426"/>
        <w:rPr>
          <w:sz w:val="20"/>
          <w:szCs w:val="20"/>
        </w:rPr>
      </w:pPr>
      <w:r w:rsidRPr="00257773">
        <w:rPr>
          <w:b/>
          <w:sz w:val="20"/>
          <w:szCs w:val="20"/>
        </w:rPr>
        <w:t>Costes de operación y mantenimiento</w:t>
      </w:r>
      <w:r w:rsidRPr="00257773">
        <w:rPr>
          <w:sz w:val="20"/>
          <w:szCs w:val="20"/>
        </w:rPr>
        <w:t xml:space="preserve"> (especialmente debido al consumo de energía y a la sustitución de piezas),</w:t>
      </w:r>
    </w:p>
    <w:p w14:paraId="6E3616C1" w14:textId="6D7CDB38" w:rsidR="00D1199C" w:rsidRPr="00257773" w:rsidRDefault="00D1199C" w:rsidP="00750DD1">
      <w:pPr>
        <w:numPr>
          <w:ilvl w:val="0"/>
          <w:numId w:val="31"/>
        </w:numPr>
        <w:ind w:left="426" w:hanging="426"/>
        <w:rPr>
          <w:sz w:val="20"/>
          <w:szCs w:val="20"/>
        </w:rPr>
      </w:pPr>
      <w:r w:rsidRPr="00257773">
        <w:rPr>
          <w:b/>
          <w:sz w:val="20"/>
          <w:szCs w:val="20"/>
        </w:rPr>
        <w:t>Otros costes</w:t>
      </w:r>
      <w:r w:rsidRPr="00257773">
        <w:rPr>
          <w:sz w:val="20"/>
          <w:szCs w:val="20"/>
        </w:rPr>
        <w:t xml:space="preserve"> (por ejemplo, impuestos o intereses) y</w:t>
      </w:r>
    </w:p>
    <w:p w14:paraId="2C13EDC4" w14:textId="11126136" w:rsidR="00D1199C" w:rsidRPr="00257773" w:rsidRDefault="00D1199C" w:rsidP="00750DD1">
      <w:pPr>
        <w:numPr>
          <w:ilvl w:val="0"/>
          <w:numId w:val="31"/>
        </w:numPr>
        <w:ind w:left="426" w:hanging="426"/>
        <w:rPr>
          <w:sz w:val="20"/>
          <w:szCs w:val="20"/>
        </w:rPr>
      </w:pPr>
      <w:r w:rsidRPr="00257773">
        <w:rPr>
          <w:b/>
          <w:sz w:val="20"/>
          <w:szCs w:val="20"/>
        </w:rPr>
        <w:t>Costes de externalidades medioambientales</w:t>
      </w:r>
      <w:r w:rsidRPr="00257773">
        <w:rPr>
          <w:sz w:val="20"/>
          <w:szCs w:val="20"/>
        </w:rPr>
        <w:t>, es decir, los asociados al cambio climático / emisiones de CO</w:t>
      </w:r>
      <w:r w:rsidRPr="00257773">
        <w:rPr>
          <w:sz w:val="20"/>
          <w:szCs w:val="20"/>
          <w:vertAlign w:val="subscript"/>
        </w:rPr>
        <w:t>2</w:t>
      </w:r>
      <w:r w:rsidRPr="00257773">
        <w:rPr>
          <w:sz w:val="20"/>
          <w:szCs w:val="20"/>
        </w:rPr>
        <w:t xml:space="preserve"> debido al consumo de energía durante el funcionamiento.</w:t>
      </w:r>
    </w:p>
    <w:p w14:paraId="5D8E3A50" w14:textId="77777777" w:rsidR="00D1199C" w:rsidRPr="00257773" w:rsidRDefault="00D1199C" w:rsidP="00750DD1">
      <w:pPr>
        <w:rPr>
          <w:sz w:val="20"/>
          <w:szCs w:val="20"/>
        </w:rPr>
      </w:pPr>
      <w:r w:rsidRPr="00257773">
        <w:rPr>
          <w:b/>
          <w:sz w:val="20"/>
          <w:szCs w:val="20"/>
        </w:rPr>
        <w:t>Esta guía proporciona los aspectos clave que se deben considerar al usar el análisis de costes del ciclo de vida en la contratación pública</w:t>
      </w:r>
      <w:r w:rsidRPr="00257773">
        <w:rPr>
          <w:sz w:val="20"/>
          <w:szCs w:val="20"/>
        </w:rPr>
        <w:t>, especialmente durante las etapas preparatoria y de licitación, y presenta brevemente las secciones y elementos principales de la herramienta CCV.</w:t>
      </w:r>
    </w:p>
    <w:p w14:paraId="5EB03500" w14:textId="77777777" w:rsidR="00D1199C" w:rsidRPr="00492B4C" w:rsidRDefault="00D1199C" w:rsidP="00257773">
      <w:pPr>
        <w:pStyle w:val="Ttulo3"/>
        <w:spacing w:before="360"/>
        <w:jc w:val="left"/>
      </w:pPr>
      <w:r>
        <w:t>¿A quién está dirigida la herramienta?</w:t>
      </w:r>
    </w:p>
    <w:p w14:paraId="5ECE5DC5" w14:textId="77777777" w:rsidR="00BC33E0" w:rsidRPr="00257773" w:rsidRDefault="00D1199C" w:rsidP="00750DD1">
      <w:pPr>
        <w:rPr>
          <w:sz w:val="20"/>
          <w:szCs w:val="20"/>
        </w:rPr>
      </w:pPr>
      <w:r w:rsidRPr="00257773">
        <w:rPr>
          <w:sz w:val="20"/>
          <w:szCs w:val="20"/>
        </w:rPr>
        <w:t xml:space="preserve">La herramienta CCV ha sido desarrollada para profesionales de contrataciones en organizaciones públicas de la Unión Europea. </w:t>
      </w:r>
    </w:p>
    <w:p w14:paraId="73D49239" w14:textId="234D0CEB" w:rsidR="00BC33E0" w:rsidRPr="00257773" w:rsidRDefault="007F2DC8" w:rsidP="00750DD1">
      <w:pPr>
        <w:rPr>
          <w:sz w:val="20"/>
          <w:szCs w:val="20"/>
        </w:rPr>
      </w:pPr>
      <w:r w:rsidRPr="00257773">
        <w:rPr>
          <w:sz w:val="20"/>
          <w:szCs w:val="20"/>
        </w:rPr>
        <w:t xml:space="preserve">Está diseñada para contrataciones tanto por debajo como por encima de los umbrales establecidos para la aplicación de las directivas de contrataciones de la UE. </w:t>
      </w:r>
    </w:p>
    <w:p w14:paraId="28EE3B0F" w14:textId="6BC8D424" w:rsidR="00D1199C" w:rsidRPr="00257773" w:rsidRDefault="00D1199C" w:rsidP="00750DD1">
      <w:pPr>
        <w:rPr>
          <w:sz w:val="20"/>
          <w:szCs w:val="20"/>
        </w:rPr>
      </w:pPr>
      <w:r w:rsidRPr="00257773">
        <w:rPr>
          <w:sz w:val="20"/>
          <w:szCs w:val="20"/>
        </w:rPr>
        <w:t>Sin embargo, también puede ser utilizada por compradores del sector privado e incluso el público en general.</w:t>
      </w:r>
    </w:p>
    <w:p w14:paraId="127F6B9B" w14:textId="3EEF07FA" w:rsidR="00257773" w:rsidRDefault="00257773" w:rsidP="00750DD1"/>
    <w:p w14:paraId="7311DA3C" w14:textId="0EEE1687" w:rsidR="00865BCB" w:rsidRDefault="00865BCB" w:rsidP="00750DD1"/>
    <w:p w14:paraId="5EE2EDB7" w14:textId="77777777" w:rsidR="00865BCB" w:rsidRPr="00492B4C" w:rsidRDefault="00865BCB" w:rsidP="00750DD1"/>
    <w:tbl>
      <w:tblPr>
        <w:tblW w:w="467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673"/>
      </w:tblGrid>
      <w:tr w:rsidR="009B3E37" w:rsidRPr="00492B4C" w14:paraId="5C380AB4" w14:textId="77777777" w:rsidTr="0094099E">
        <w:trPr>
          <w:trHeight w:val="1820"/>
        </w:trPr>
        <w:tc>
          <w:tcPr>
            <w:tcW w:w="4673" w:type="dxa"/>
            <w:tcBorders>
              <w:top w:val="nil"/>
              <w:left w:val="nil"/>
              <w:bottom w:val="nil"/>
              <w:right w:val="nil"/>
            </w:tcBorders>
            <w:shd w:val="clear" w:color="auto" w:fill="C8EBEB"/>
          </w:tcPr>
          <w:p w14:paraId="565C842B" w14:textId="77777777" w:rsidR="00D1199C" w:rsidRPr="00786208" w:rsidRDefault="00D1199C" w:rsidP="00257773">
            <w:pPr>
              <w:jc w:val="left"/>
              <w:rPr>
                <w:b/>
                <w:szCs w:val="22"/>
              </w:rPr>
            </w:pPr>
            <w:r>
              <w:rPr>
                <w:b/>
                <w:szCs w:val="22"/>
              </w:rPr>
              <w:t>¿Para qué productos se puede usar esta herramienta?</w:t>
            </w:r>
          </w:p>
          <w:p w14:paraId="73C59592" w14:textId="61239A29" w:rsidR="00BC33E0" w:rsidRPr="00257773" w:rsidRDefault="00232D9E" w:rsidP="00BC33E0">
            <w:pPr>
              <w:jc w:val="left"/>
              <w:rPr>
                <w:sz w:val="20"/>
                <w:szCs w:val="20"/>
              </w:rPr>
            </w:pPr>
            <w:r w:rsidRPr="00257773">
              <w:rPr>
                <w:sz w:val="20"/>
                <w:szCs w:val="20"/>
              </w:rPr>
              <w:t xml:space="preserve">Esta guía del usuario contiene la información básica para comenzar a usar la herramienta de cálculo de CCV en la adquisición de </w:t>
            </w:r>
            <w:r w:rsidRPr="00257773">
              <w:rPr>
                <w:b/>
                <w:sz w:val="20"/>
                <w:szCs w:val="20"/>
              </w:rPr>
              <w:t>iluminación interior</w:t>
            </w:r>
            <w:r w:rsidRPr="00257773">
              <w:rPr>
                <w:sz w:val="20"/>
                <w:szCs w:val="20"/>
              </w:rPr>
              <w:t xml:space="preserve">, como, por ejemplo, bombillas, luminarias y herramientas de control instaladas en el interior de edificios para satisfacer las </w:t>
            </w:r>
            <w:r w:rsidRPr="00257773">
              <w:rPr>
                <w:b/>
                <w:sz w:val="20"/>
                <w:szCs w:val="20"/>
              </w:rPr>
              <w:t>necesidades periódicas de iluminación</w:t>
            </w:r>
            <w:r w:rsidRPr="00257773">
              <w:rPr>
                <w:sz w:val="20"/>
                <w:szCs w:val="20"/>
              </w:rPr>
              <w:t>.</w:t>
            </w:r>
          </w:p>
          <w:p w14:paraId="1E952EFB" w14:textId="60C3A79E" w:rsidR="00D1199C" w:rsidRPr="00492B4C" w:rsidRDefault="00BC33E0" w:rsidP="00BC33E0">
            <w:pPr>
              <w:spacing w:after="120"/>
              <w:jc w:val="left"/>
            </w:pPr>
            <w:r w:rsidRPr="00257773">
              <w:rPr>
                <w:sz w:val="20"/>
                <w:szCs w:val="20"/>
              </w:rPr>
              <w:t>La iluminación especializada (como iluminación de pantallas, iluminación de emergencia, iluminación médica, etc.) no está cubierta, aunque algunas recomendaciones podrían aplicarse.</w:t>
            </w:r>
          </w:p>
        </w:tc>
      </w:tr>
    </w:tbl>
    <w:p w14:paraId="22ADE2AA" w14:textId="77777777" w:rsidR="00D1199C" w:rsidRPr="00492B4C" w:rsidRDefault="00D1199C" w:rsidP="00257773">
      <w:pPr>
        <w:pStyle w:val="Ttulo3"/>
        <w:spacing w:before="360"/>
        <w:jc w:val="left"/>
      </w:pPr>
      <w:r>
        <w:t>¿Cuándo utilizar la herramienta?</w:t>
      </w:r>
    </w:p>
    <w:p w14:paraId="5C500B77" w14:textId="5664526B" w:rsidR="00D1199C" w:rsidRPr="00257773" w:rsidRDefault="00D1199C" w:rsidP="00F358EF">
      <w:pPr>
        <w:rPr>
          <w:sz w:val="20"/>
          <w:szCs w:val="20"/>
        </w:rPr>
      </w:pPr>
      <w:r w:rsidRPr="00257773">
        <w:rPr>
          <w:sz w:val="20"/>
          <w:szCs w:val="20"/>
        </w:rPr>
        <w:t>La herramienta ha sido diseñada para ser utilizada durante los procesos de licitación. Sin embargo, esa no es la única etapa de un proceso de contratación en la que puede aplicarse. Se puede utilizar:</w:t>
      </w:r>
    </w:p>
    <w:p w14:paraId="56A18798" w14:textId="77777777" w:rsidR="00675197" w:rsidRPr="00492B4C" w:rsidRDefault="00675197" w:rsidP="00D1199C">
      <w:pPr>
        <w:jc w:val="left"/>
      </w:pPr>
    </w:p>
    <w:tbl>
      <w:tblPr>
        <w:tblW w:w="46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676"/>
      </w:tblGrid>
      <w:tr w:rsidR="009B3E37" w:rsidRPr="00492B4C" w14:paraId="4E2ED74B" w14:textId="77777777" w:rsidTr="009B3E37">
        <w:tc>
          <w:tcPr>
            <w:tcW w:w="4676" w:type="dxa"/>
            <w:shd w:val="clear" w:color="auto" w:fill="7DD2D2"/>
            <w:vAlign w:val="center"/>
          </w:tcPr>
          <w:p w14:paraId="05D4C24E" w14:textId="77777777" w:rsidR="00D1199C" w:rsidRPr="0094099E" w:rsidRDefault="00D1199C" w:rsidP="00C44E5B">
            <w:pPr>
              <w:spacing w:before="60" w:after="60"/>
              <w:jc w:val="center"/>
              <w:rPr>
                <w:sz w:val="20"/>
                <w:szCs w:val="20"/>
              </w:rPr>
            </w:pPr>
            <w:r>
              <w:rPr>
                <w:sz w:val="20"/>
                <w:szCs w:val="20"/>
              </w:rPr>
              <w:t>ANTES DE LA LICITACIÓN</w:t>
            </w:r>
          </w:p>
        </w:tc>
      </w:tr>
      <w:tr w:rsidR="009B3E37" w:rsidRPr="00492B4C" w14:paraId="66A548B2" w14:textId="77777777" w:rsidTr="00491C55">
        <w:tc>
          <w:tcPr>
            <w:tcW w:w="4676" w:type="dxa"/>
            <w:shd w:val="clear" w:color="auto" w:fill="FFFFFF" w:themeFill="background1"/>
          </w:tcPr>
          <w:p w14:paraId="7606317C" w14:textId="77777777" w:rsidR="00D1199C" w:rsidRPr="0094099E" w:rsidRDefault="00D1199C" w:rsidP="00D1199C">
            <w:pPr>
              <w:spacing w:after="120"/>
              <w:jc w:val="left"/>
              <w:rPr>
                <w:sz w:val="20"/>
                <w:szCs w:val="20"/>
              </w:rPr>
            </w:pPr>
            <w:r>
              <w:rPr>
                <w:sz w:val="20"/>
                <w:szCs w:val="20"/>
              </w:rPr>
              <w:t>Para evaluar el CCV de la situación actual y estudiar brevemente diferentes soluciones para ayudar a guiar las actividades de participación en el mercado previas a la licitación, o para limitar las diferentes soluciones tecnológicas.</w:t>
            </w:r>
          </w:p>
        </w:tc>
      </w:tr>
      <w:tr w:rsidR="009B3E37" w:rsidRPr="00492B4C" w14:paraId="3132A426" w14:textId="77777777" w:rsidTr="009B3E37">
        <w:tc>
          <w:tcPr>
            <w:tcW w:w="4676" w:type="dxa"/>
            <w:shd w:val="clear" w:color="auto" w:fill="7DD2D2"/>
            <w:vAlign w:val="center"/>
          </w:tcPr>
          <w:p w14:paraId="6DE2CF2B" w14:textId="77777777" w:rsidR="00D1199C" w:rsidRPr="0094099E" w:rsidRDefault="00D1199C" w:rsidP="00C44E5B">
            <w:pPr>
              <w:spacing w:before="60" w:after="60"/>
              <w:jc w:val="center"/>
              <w:rPr>
                <w:sz w:val="20"/>
                <w:szCs w:val="20"/>
              </w:rPr>
            </w:pPr>
            <w:r>
              <w:rPr>
                <w:sz w:val="20"/>
                <w:szCs w:val="20"/>
              </w:rPr>
              <w:t>DURANTE LA LICITACIÓN</w:t>
            </w:r>
          </w:p>
        </w:tc>
      </w:tr>
      <w:tr w:rsidR="009B3E37" w:rsidRPr="00492B4C" w14:paraId="1240C445" w14:textId="77777777" w:rsidTr="00491C55">
        <w:tc>
          <w:tcPr>
            <w:tcW w:w="4676" w:type="dxa"/>
            <w:shd w:val="clear" w:color="auto" w:fill="FFFFFF" w:themeFill="background1"/>
          </w:tcPr>
          <w:p w14:paraId="7ED025A2" w14:textId="0D937D94" w:rsidR="00D1199C" w:rsidRPr="0094099E" w:rsidRDefault="003D2E98" w:rsidP="00D1199C">
            <w:pPr>
              <w:spacing w:after="120"/>
              <w:jc w:val="left"/>
              <w:rPr>
                <w:sz w:val="20"/>
                <w:szCs w:val="20"/>
              </w:rPr>
            </w:pPr>
            <w:r>
              <w:rPr>
                <w:sz w:val="20"/>
                <w:szCs w:val="20"/>
              </w:rPr>
              <w:t xml:space="preserve">Para comparar ofertas durante la evaluación y adjudicación de contratos, según lo previsto en las </w:t>
            </w:r>
            <w:hyperlink r:id="rId17" w:history="1">
              <w:r>
                <w:rPr>
                  <w:rStyle w:val="Hipervnculo"/>
                  <w:sz w:val="20"/>
                  <w:szCs w:val="20"/>
                </w:rPr>
                <w:t>Directivas 2014/24/UE</w:t>
              </w:r>
            </w:hyperlink>
            <w:r>
              <w:rPr>
                <w:sz w:val="20"/>
                <w:szCs w:val="20"/>
              </w:rPr>
              <w:t xml:space="preserve"> y </w:t>
            </w:r>
            <w:hyperlink r:id="rId18" w:history="1">
              <w:r>
                <w:rPr>
                  <w:rStyle w:val="Hipervnculo"/>
                  <w:sz w:val="20"/>
                  <w:szCs w:val="20"/>
                </w:rPr>
                <w:t>2014/25/UE</w:t>
              </w:r>
            </w:hyperlink>
            <w:r>
              <w:rPr>
                <w:sz w:val="20"/>
                <w:szCs w:val="20"/>
              </w:rPr>
              <w:t xml:space="preserve"> </w:t>
            </w:r>
            <w:r w:rsidRPr="0061077B">
              <w:rPr>
                <w:sz w:val="20"/>
                <w:szCs w:val="20"/>
              </w:rPr>
              <w:t xml:space="preserve">así como en la </w:t>
            </w:r>
            <w:hyperlink r:id="rId19" w:history="1">
              <w:r w:rsidRPr="0061077B">
                <w:rPr>
                  <w:rStyle w:val="Hipervnculo"/>
                  <w:sz w:val="20"/>
                  <w:szCs w:val="20"/>
                </w:rPr>
                <w:t>Ley 9/2017 de Contratos del Sector Público</w:t>
              </w:r>
            </w:hyperlink>
            <w:r w:rsidRPr="0061077B">
              <w:rPr>
                <w:sz w:val="20"/>
                <w:szCs w:val="20"/>
              </w:rPr>
              <w:t xml:space="preserve"> estatal.</w:t>
            </w:r>
          </w:p>
        </w:tc>
      </w:tr>
      <w:tr w:rsidR="009B3E37" w:rsidRPr="00492B4C" w14:paraId="41D491C9" w14:textId="77777777" w:rsidTr="009B3E37">
        <w:tc>
          <w:tcPr>
            <w:tcW w:w="4676" w:type="dxa"/>
            <w:shd w:val="clear" w:color="auto" w:fill="7DD2D2"/>
            <w:vAlign w:val="center"/>
          </w:tcPr>
          <w:p w14:paraId="59B64DD4" w14:textId="77777777" w:rsidR="00D1199C" w:rsidRPr="0094099E" w:rsidRDefault="00D1199C" w:rsidP="00C44E5B">
            <w:pPr>
              <w:spacing w:before="60" w:after="60"/>
              <w:jc w:val="center"/>
              <w:rPr>
                <w:sz w:val="20"/>
                <w:szCs w:val="20"/>
              </w:rPr>
            </w:pPr>
            <w:r>
              <w:rPr>
                <w:sz w:val="20"/>
                <w:szCs w:val="20"/>
              </w:rPr>
              <w:t>DESPUÉS DE LA LICITACIÓN</w:t>
            </w:r>
          </w:p>
        </w:tc>
      </w:tr>
      <w:tr w:rsidR="009B3E37" w:rsidRPr="00492B4C" w14:paraId="28F9F5AE" w14:textId="77777777" w:rsidTr="00491C55">
        <w:tc>
          <w:tcPr>
            <w:tcW w:w="4676" w:type="dxa"/>
            <w:shd w:val="clear" w:color="auto" w:fill="FFFFFF" w:themeFill="background1"/>
          </w:tcPr>
          <w:p w14:paraId="12E9A8B5" w14:textId="77777777" w:rsidR="00D1199C" w:rsidRPr="0094099E" w:rsidRDefault="00D1199C" w:rsidP="00D1199C">
            <w:pPr>
              <w:spacing w:after="120"/>
              <w:jc w:val="left"/>
              <w:rPr>
                <w:sz w:val="20"/>
                <w:szCs w:val="20"/>
              </w:rPr>
            </w:pPr>
            <w:r>
              <w:rPr>
                <w:sz w:val="20"/>
                <w:szCs w:val="20"/>
              </w:rPr>
              <w:t>Para evaluar la opción seleccionada frente a la situación anterior u otras ofertas, informar de los resultados y ayudar a preparar las siguientes contrataciones.</w:t>
            </w:r>
          </w:p>
        </w:tc>
      </w:tr>
    </w:tbl>
    <w:p w14:paraId="2A0B4153" w14:textId="77777777" w:rsidR="00D64D4C" w:rsidRDefault="00D64D4C" w:rsidP="00D1199C">
      <w:pPr>
        <w:sectPr w:rsidR="00D64D4C" w:rsidSect="00D64D4C">
          <w:type w:val="continuous"/>
          <w:pgSz w:w="11907" w:h="16840" w:code="9"/>
          <w:pgMar w:top="1418" w:right="1134" w:bottom="851" w:left="1134" w:header="567" w:footer="567" w:gutter="0"/>
          <w:cols w:num="2" w:space="720"/>
        </w:sectPr>
      </w:pPr>
    </w:p>
    <w:p w14:paraId="58303354" w14:textId="2733E87A" w:rsidR="00D1199C" w:rsidRPr="00492B4C" w:rsidRDefault="00D1199C" w:rsidP="00B535C1">
      <w:pPr>
        <w:pStyle w:val="Ttulo1"/>
        <w:pBdr>
          <w:bottom w:val="none" w:sz="0" w:space="0" w:color="auto"/>
        </w:pBdr>
        <w:spacing w:before="240"/>
      </w:pPr>
      <w:r>
        <w:lastRenderedPageBreak/>
        <w:t>I. Antes del proceso de licitación</w:t>
      </w:r>
    </w:p>
    <w:p w14:paraId="4C2E001F" w14:textId="77777777" w:rsidR="00D1199C" w:rsidRPr="00492B4C" w:rsidRDefault="00D1199C" w:rsidP="00D1199C"/>
    <w:tbl>
      <w:tblPr>
        <w:tblW w:w="0" w:type="auto"/>
        <w:tblLook w:val="00A0" w:firstRow="1" w:lastRow="0" w:firstColumn="1" w:lastColumn="0" w:noHBand="0" w:noVBand="0"/>
      </w:tblPr>
      <w:tblGrid>
        <w:gridCol w:w="9639"/>
      </w:tblGrid>
      <w:tr w:rsidR="00D1199C" w:rsidRPr="00492B4C" w14:paraId="6233D019" w14:textId="77777777">
        <w:tc>
          <w:tcPr>
            <w:tcW w:w="9779" w:type="dxa"/>
          </w:tcPr>
          <w:p w14:paraId="1BC7809A" w14:textId="25288381" w:rsidR="00D1199C" w:rsidRPr="00492B4C" w:rsidRDefault="00D1199C" w:rsidP="00D1199C">
            <w:pPr>
              <w:rPr>
                <w:color w:val="188384"/>
                <w:sz w:val="24"/>
              </w:rPr>
            </w:pPr>
            <w:r>
              <w:rPr>
                <w:color w:val="188384"/>
                <w:sz w:val="24"/>
              </w:rPr>
              <w:t xml:space="preserve">Antes de comenzar el proceso de licitación, es importante saber cuáles son las necesidades reales de iluminación, qué soluciones existen para cubrirlas y cuáles tienen costes del ciclo de vida más bajos. Para ello, es necesario involucrar a los agentes internos y consultar con el mercado. </w:t>
            </w:r>
          </w:p>
          <w:p w14:paraId="4F9D5788" w14:textId="77777777" w:rsidR="00D1199C" w:rsidRPr="00492B4C" w:rsidRDefault="00D1199C" w:rsidP="00D1199C">
            <w:pPr>
              <w:rPr>
                <w:color w:val="188384"/>
                <w:sz w:val="24"/>
              </w:rPr>
            </w:pPr>
            <w:r>
              <w:rPr>
                <w:color w:val="188384"/>
                <w:sz w:val="24"/>
              </w:rPr>
              <w:t>No todos los factores de costes se incluyen fácilmente en el CCV; es necesario saberlo y decidir qué elementos incluir en la herramienta y cuáles considerar por separado como criterios adicionales, con el fin de elegir la mejor solución para las necesidades específicas y para el medio ambiente.</w:t>
            </w:r>
          </w:p>
        </w:tc>
      </w:tr>
    </w:tbl>
    <w:p w14:paraId="248A42DD" w14:textId="77777777" w:rsidR="00DA5F1F" w:rsidRDefault="00DA5F1F" w:rsidP="00D1199C">
      <w:pPr>
        <w:sectPr w:rsidR="00DA5F1F" w:rsidSect="00DA5F1F">
          <w:headerReference w:type="default" r:id="rId20"/>
          <w:pgSz w:w="11907" w:h="16840" w:code="9"/>
          <w:pgMar w:top="1418" w:right="1134" w:bottom="851" w:left="1134" w:header="567" w:footer="567" w:gutter="0"/>
          <w:cols w:space="720"/>
        </w:sectPr>
      </w:pPr>
    </w:p>
    <w:p w14:paraId="77275C4D" w14:textId="0C812F2F" w:rsidR="00D1199C" w:rsidRPr="00492B4C" w:rsidRDefault="00D1199C" w:rsidP="00D1199C">
      <w:pPr>
        <w:pStyle w:val="Ttulo3"/>
      </w:pPr>
      <w:r>
        <w:t>Determinar las necesidades</w:t>
      </w:r>
    </w:p>
    <w:p w14:paraId="6087EF96" w14:textId="28819317" w:rsidR="001D0BC9" w:rsidRPr="00257773" w:rsidRDefault="001D0BC9" w:rsidP="001D0BC9">
      <w:pPr>
        <w:rPr>
          <w:sz w:val="20"/>
          <w:szCs w:val="20"/>
        </w:rPr>
      </w:pPr>
      <w:r w:rsidRPr="00257773">
        <w:rPr>
          <w:sz w:val="20"/>
          <w:szCs w:val="20"/>
        </w:rPr>
        <w:t>Antes de la licitación, es necesario definir las necesidades de iluminación de cada área en el edificio o en el proceso de licitación para proporcionar «la luz adecuada en el momento y el lugar adecuados».</w:t>
      </w:r>
      <w:r w:rsidRPr="00257773">
        <w:rPr>
          <w:rStyle w:val="Refdenotaalpie"/>
          <w:sz w:val="20"/>
          <w:szCs w:val="20"/>
        </w:rPr>
        <w:footnoteReference w:id="1"/>
      </w:r>
    </w:p>
    <w:p w14:paraId="59FF326B" w14:textId="31790226" w:rsidR="001D0BC9" w:rsidRPr="00257773" w:rsidRDefault="001D0BC9" w:rsidP="001D0BC9">
      <w:pPr>
        <w:rPr>
          <w:sz w:val="20"/>
          <w:szCs w:val="20"/>
        </w:rPr>
      </w:pPr>
      <w:r w:rsidRPr="00257773">
        <w:rPr>
          <w:sz w:val="20"/>
          <w:szCs w:val="20"/>
        </w:rPr>
        <w:t xml:space="preserve">Las necesidades de iluminación para condiciones visuales adecuadas dependerán de las actividades realizadas en cada área o que se realizarán en el futuro, los patrones de ocupación, la luz natural existente, el tipo de ocupantes o </w:t>
      </w:r>
      <w:r w:rsidR="003D2E98">
        <w:rPr>
          <w:sz w:val="20"/>
          <w:szCs w:val="20"/>
        </w:rPr>
        <w:t xml:space="preserve">las personas </w:t>
      </w:r>
      <w:r w:rsidRPr="00257773">
        <w:rPr>
          <w:sz w:val="20"/>
          <w:szCs w:val="20"/>
        </w:rPr>
        <w:t>usuari</w:t>
      </w:r>
      <w:r w:rsidR="003D2E98">
        <w:rPr>
          <w:sz w:val="20"/>
          <w:szCs w:val="20"/>
        </w:rPr>
        <w:t>a</w:t>
      </w:r>
      <w:r w:rsidRPr="00257773">
        <w:rPr>
          <w:sz w:val="20"/>
          <w:szCs w:val="20"/>
        </w:rPr>
        <w:t xml:space="preserve">s del edificio, etc. </w:t>
      </w:r>
    </w:p>
    <w:p w14:paraId="57B774D1" w14:textId="23A8A037" w:rsidR="00D1199C" w:rsidRPr="00257773" w:rsidRDefault="00786208" w:rsidP="00D1199C">
      <w:pPr>
        <w:rPr>
          <w:sz w:val="20"/>
          <w:szCs w:val="20"/>
        </w:rPr>
      </w:pPr>
      <w:r w:rsidRPr="00257773">
        <w:rPr>
          <w:sz w:val="20"/>
          <w:szCs w:val="20"/>
        </w:rPr>
        <w:t>Tenga en cuenta esos aspectos, así como las normativas y recomendaciones de construcción e iluminación existentes en su región o en la UE para definir las necesidades de iluminación de su proyecto.</w:t>
      </w:r>
    </w:p>
    <w:p w14:paraId="34096CC3" w14:textId="77777777" w:rsidR="00D1199C" w:rsidRPr="00492B4C" w:rsidRDefault="00D1199C" w:rsidP="00D1199C"/>
    <w:p w14:paraId="689E51D3" w14:textId="32619CE1" w:rsidR="00D1199C" w:rsidRPr="00492B4C" w:rsidRDefault="00D1199C" w:rsidP="00D1199C">
      <w:pPr>
        <w:pStyle w:val="Ttulo3"/>
      </w:pPr>
      <w:r>
        <w:t xml:space="preserve">Identificar soluciones para esas necesidades </w:t>
      </w:r>
    </w:p>
    <w:p w14:paraId="3D912EA5" w14:textId="6D5D18D5" w:rsidR="00A80278" w:rsidRDefault="00A80278" w:rsidP="00D1199C">
      <w:pPr>
        <w:rPr>
          <w:sz w:val="20"/>
          <w:szCs w:val="20"/>
        </w:rPr>
      </w:pPr>
      <w:r w:rsidRPr="00257773">
        <w:rPr>
          <w:sz w:val="20"/>
          <w:szCs w:val="20"/>
        </w:rPr>
        <w:t>Hay muchas opciones para cubrir sus necesidades de una manera ecológica y rentable si se toma su tiempo para evaluar las opciones. La consulta con los agentes internos y el mercado es clave, especialmente al modernizar las instalaciones existentes o si desea optar por nuevos acuerdos contractuales, como contratos de servicio de energía o contratos de luz como servicio para cubrir sus necesidades de iluminación.</w:t>
      </w:r>
    </w:p>
    <w:p w14:paraId="6A056E15" w14:textId="77777777" w:rsidR="00865BCB" w:rsidRPr="00257773" w:rsidRDefault="00865BCB" w:rsidP="00D1199C">
      <w:pPr>
        <w:rPr>
          <w:sz w:val="20"/>
          <w:szCs w:val="20"/>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459"/>
      </w:tblGrid>
      <w:tr w:rsidR="00D1199C" w:rsidRPr="00492B4C" w14:paraId="02BD8E2A" w14:textId="77777777" w:rsidTr="00845FAC">
        <w:tc>
          <w:tcPr>
            <w:tcW w:w="4459" w:type="dxa"/>
            <w:tcBorders>
              <w:top w:val="nil"/>
              <w:left w:val="nil"/>
              <w:bottom w:val="nil"/>
              <w:right w:val="nil"/>
            </w:tcBorders>
            <w:shd w:val="clear" w:color="auto" w:fill="C8EBEB"/>
          </w:tcPr>
          <w:p w14:paraId="4F5547FB" w14:textId="68ECC6A2" w:rsidR="00A80278" w:rsidRPr="0094099E" w:rsidRDefault="0094099E" w:rsidP="00865BCB">
            <w:pPr>
              <w:jc w:val="left"/>
              <w:rPr>
                <w:b/>
                <w:sz w:val="20"/>
                <w:szCs w:val="20"/>
              </w:rPr>
            </w:pPr>
            <w:r w:rsidRPr="00257773">
              <w:rPr>
                <w:sz w:val="20"/>
                <w:szCs w:val="20"/>
              </w:rPr>
              <w:br w:type="column"/>
            </w:r>
            <w:r w:rsidR="00A80278">
              <w:rPr>
                <w:b/>
                <w:sz w:val="20"/>
                <w:szCs w:val="20"/>
              </w:rPr>
              <w:t>Considere instalar sistemas de control de iluminación</w:t>
            </w:r>
          </w:p>
          <w:p w14:paraId="15B74F96" w14:textId="627448DC" w:rsidR="00A80278" w:rsidRPr="0094099E" w:rsidRDefault="00A80278" w:rsidP="002A0C02">
            <w:pPr>
              <w:jc w:val="left"/>
              <w:rPr>
                <w:sz w:val="20"/>
                <w:szCs w:val="20"/>
              </w:rPr>
            </w:pPr>
            <w:r>
              <w:rPr>
                <w:sz w:val="20"/>
                <w:szCs w:val="20"/>
              </w:rPr>
              <w:t xml:space="preserve">Los sistemas de equipo de control de iluminación ayudan a evitar el desperdicio de energía (y dinero) en áreas donde la </w:t>
            </w:r>
            <w:r>
              <w:rPr>
                <w:sz w:val="20"/>
                <w:szCs w:val="20"/>
              </w:rPr>
              <w:t>iluminación no siempre es necesaria, donde la iluminación podría atenuarse según las necesidades de los ocupantes o donde se podría atenuar la luz al comienzo de la instalación cuando la iluminación está por encima de los requisitos, para garantizar la iluminación mínima requerida durante la vida útil de la bombilla.</w:t>
            </w:r>
          </w:p>
          <w:p w14:paraId="3474FA72" w14:textId="2799D062" w:rsidR="00A80278" w:rsidRPr="0094099E" w:rsidRDefault="00A80278" w:rsidP="002A0C02">
            <w:pPr>
              <w:jc w:val="left"/>
              <w:rPr>
                <w:sz w:val="20"/>
                <w:szCs w:val="20"/>
              </w:rPr>
            </w:pPr>
            <w:r>
              <w:rPr>
                <w:sz w:val="20"/>
                <w:szCs w:val="20"/>
              </w:rPr>
              <w:t>Hoy en día hay muchas opciones en el mercado (manual, automático, inteligente, directo, remoto, combinado). Conviene analizarlas y evaluar el ahorro potencial de cada opción para desarrollar las especificaciones de la licitación.</w:t>
            </w:r>
          </w:p>
          <w:p w14:paraId="4E5DE240" w14:textId="032B0215" w:rsidR="00D1199C" w:rsidRPr="00492B4C" w:rsidRDefault="00A80278" w:rsidP="00865BCB">
            <w:pPr>
              <w:spacing w:after="120"/>
              <w:jc w:val="left"/>
            </w:pPr>
            <w:r>
              <w:rPr>
                <w:sz w:val="20"/>
                <w:szCs w:val="20"/>
              </w:rPr>
              <w:t>Al hacerlo, incluya cláusulas de cumplimiento del contrato para garantizar el ajuste de los sistemas de control después de su instalación y que se brinde la capacitación adecuada a los administradores de energía del edificio, al personal de mantenimiento u ocupantes, según el sistema.</w:t>
            </w:r>
          </w:p>
        </w:tc>
      </w:tr>
    </w:tbl>
    <w:p w14:paraId="7000F16C" w14:textId="77777777" w:rsidR="00845FAC" w:rsidRDefault="00845FAC" w:rsidP="00845FAC"/>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449"/>
      </w:tblGrid>
      <w:tr w:rsidR="00845FAC" w:rsidRPr="00492B4C" w14:paraId="33A61477" w14:textId="77777777" w:rsidTr="00C7076F">
        <w:tc>
          <w:tcPr>
            <w:tcW w:w="4449" w:type="dxa"/>
            <w:tcBorders>
              <w:top w:val="nil"/>
              <w:left w:val="nil"/>
              <w:bottom w:val="nil"/>
              <w:right w:val="nil"/>
            </w:tcBorders>
            <w:shd w:val="clear" w:color="auto" w:fill="C8EBEB"/>
          </w:tcPr>
          <w:p w14:paraId="6F3AA761" w14:textId="5C1EADE5" w:rsidR="00845FAC" w:rsidRPr="00845FAC" w:rsidRDefault="00845FAC" w:rsidP="00865BCB">
            <w:pPr>
              <w:jc w:val="left"/>
              <w:rPr>
                <w:b/>
                <w:sz w:val="20"/>
                <w:szCs w:val="20"/>
              </w:rPr>
            </w:pPr>
            <w:r>
              <w:rPr>
                <w:b/>
                <w:sz w:val="20"/>
                <w:szCs w:val="20"/>
              </w:rPr>
              <w:t>La relevancia del mantenimiento en el diseño de la instalación</w:t>
            </w:r>
          </w:p>
          <w:p w14:paraId="0A7260C9" w14:textId="0B6E1316" w:rsidR="00845FAC" w:rsidRPr="00A25AFB" w:rsidRDefault="00B971CB" w:rsidP="00C7076F">
            <w:pPr>
              <w:jc w:val="left"/>
              <w:rPr>
                <w:sz w:val="20"/>
                <w:szCs w:val="20"/>
              </w:rPr>
            </w:pPr>
            <w:r>
              <w:rPr>
                <w:sz w:val="20"/>
                <w:szCs w:val="20"/>
              </w:rPr>
              <w:t>A medida que pasa el tiempo, la eficiencia de los sistemas de iluminación se deteriora debido al envejecimiento de las piezas de la luminaria (difusores, reflectores, lámparas...), así como debido a la acumulación de suciedad en ellos y en las superficies de las estancias.</w:t>
            </w:r>
          </w:p>
          <w:p w14:paraId="445CB55A" w14:textId="60918F07" w:rsidR="00845FAC" w:rsidRPr="001053AC" w:rsidRDefault="00B971CB" w:rsidP="001053AC">
            <w:pPr>
              <w:spacing w:after="240"/>
              <w:jc w:val="left"/>
              <w:rPr>
                <w:sz w:val="20"/>
                <w:szCs w:val="20"/>
                <w:highlight w:val="yellow"/>
              </w:rPr>
            </w:pPr>
            <w:r>
              <w:rPr>
                <w:sz w:val="20"/>
                <w:szCs w:val="20"/>
              </w:rPr>
              <w:t>Al considerar diferentes opciones, tenga en cuenta esos factores de mantenimiento para reducir los costes de mantenimiento (tanto en términos de compra de componentes como de mano de obra) durante la vida útil de la instalación.</w:t>
            </w:r>
          </w:p>
        </w:tc>
      </w:tr>
    </w:tbl>
    <w:p w14:paraId="1468CC5C" w14:textId="77777777" w:rsidR="00D1199C" w:rsidRPr="00492B4C" w:rsidRDefault="00D1199C" w:rsidP="00D1199C">
      <w:pPr>
        <w:pStyle w:val="Ttulo3"/>
      </w:pPr>
      <w:r>
        <w:lastRenderedPageBreak/>
        <w:t>Identificar los factores y parámetros de costes relevantes</w:t>
      </w:r>
    </w:p>
    <w:p w14:paraId="7E509C3C" w14:textId="4BE73A8F" w:rsidR="00E041BE" w:rsidRPr="00257773" w:rsidRDefault="00A80278" w:rsidP="00BE5FBE">
      <w:pPr>
        <w:rPr>
          <w:sz w:val="20"/>
          <w:szCs w:val="20"/>
        </w:rPr>
      </w:pPr>
      <w:r>
        <w:t xml:space="preserve">Las diferentes soluciones tienen diferentes </w:t>
      </w:r>
      <w:r w:rsidRPr="00257773">
        <w:rPr>
          <w:sz w:val="20"/>
          <w:szCs w:val="20"/>
        </w:rPr>
        <w:t>costes a lo largo de su ciclo de vida, de modo que analizar los gastos y los cambios organizacionales de cada una de ellas en esta etapa preliminar ayudará a tener una visión completa de los costes y a descubrir los costes «ocultos» para evaluar mejor las alternativas desde un punto de vista económico. Los costes de operación y mantenimiento serán especialmente relevantes.</w:t>
      </w:r>
    </w:p>
    <w:p w14:paraId="4BBB8228" w14:textId="186EFC16" w:rsidR="00D1199C" w:rsidRPr="003D2E98" w:rsidRDefault="00D1199C" w:rsidP="00D1199C">
      <w:pPr>
        <w:rPr>
          <w:sz w:val="20"/>
          <w:szCs w:val="20"/>
        </w:rPr>
      </w:pPr>
      <w:r w:rsidRPr="00257773">
        <w:rPr>
          <w:sz w:val="20"/>
          <w:szCs w:val="20"/>
        </w:rPr>
        <w:t xml:space="preserve">Al identificar los factores del coste, hay que </w:t>
      </w:r>
      <w:r w:rsidRPr="003D2E98">
        <w:rPr>
          <w:sz w:val="20"/>
          <w:szCs w:val="20"/>
        </w:rPr>
        <w:t xml:space="preserve">asegurarse de proporcionar definiciones claras y objetivas y hacer referencia a estándares reconocidos por la industria para facilitar la aceptación del proceso y la provisión de datos por parte de los licitadores </w:t>
      </w:r>
      <w:r w:rsidR="003D2E98" w:rsidRPr="00DC6C1F">
        <w:rPr>
          <w:sz w:val="20"/>
          <w:szCs w:val="20"/>
        </w:rPr>
        <w:t xml:space="preserve">(los </w:t>
      </w:r>
      <w:hyperlink r:id="rId21" w:history="1">
        <w:r w:rsidR="003D2E98" w:rsidRPr="00DC6C1F">
          <w:rPr>
            <w:rStyle w:val="Hipervnculo"/>
            <w:sz w:val="20"/>
            <w:szCs w:val="20"/>
          </w:rPr>
          <w:t>criterios de compra pública verde de la UE</w:t>
        </w:r>
      </w:hyperlink>
      <w:r w:rsidR="003D2E98" w:rsidRPr="00DC6C1F">
        <w:rPr>
          <w:sz w:val="20"/>
          <w:szCs w:val="20"/>
        </w:rPr>
        <w:t xml:space="preserve"> </w:t>
      </w:r>
      <w:r w:rsidR="00A64386">
        <w:rPr>
          <w:sz w:val="20"/>
          <w:szCs w:val="20"/>
        </w:rPr>
        <w:t>y</w:t>
      </w:r>
      <w:r w:rsidR="003D2E98" w:rsidRPr="00DC6C1F">
        <w:rPr>
          <w:sz w:val="20"/>
          <w:szCs w:val="20"/>
        </w:rPr>
        <w:t xml:space="preserve"> los </w:t>
      </w:r>
      <w:hyperlink r:id="rId22" w:history="1">
        <w:r w:rsidR="003D2E98" w:rsidRPr="00DC6C1F">
          <w:rPr>
            <w:rStyle w:val="Hipervnculo"/>
            <w:sz w:val="20"/>
            <w:szCs w:val="20"/>
          </w:rPr>
          <w:t>criterios de compra verde publicados por Ihobe</w:t>
        </w:r>
      </w:hyperlink>
      <w:r w:rsidR="003D2E98" w:rsidRPr="00DC6C1F">
        <w:rPr>
          <w:sz w:val="20"/>
          <w:szCs w:val="20"/>
        </w:rPr>
        <w:t xml:space="preserve"> pueden ser un buen punto de partida para esto).</w:t>
      </w:r>
      <w:r w:rsidR="00865BCB">
        <w:rPr>
          <w:sz w:val="20"/>
          <w:szCs w:val="20"/>
        </w:rPr>
        <w:t xml:space="preserve"> </w:t>
      </w:r>
      <w:r w:rsidRPr="003D2E98">
        <w:rPr>
          <w:sz w:val="20"/>
          <w:szCs w:val="20"/>
        </w:rPr>
        <w:t>Si no se está seguro, conviene consultar con los agentes internos o el mercado para averiguarlo.</w:t>
      </w:r>
    </w:p>
    <w:p w14:paraId="11D0B937" w14:textId="485E0490" w:rsidR="00133243" w:rsidRPr="00257773" w:rsidRDefault="000B0218" w:rsidP="00D1199C">
      <w:pPr>
        <w:rPr>
          <w:sz w:val="20"/>
          <w:szCs w:val="20"/>
        </w:rPr>
      </w:pPr>
      <w:r w:rsidRPr="003D2E98">
        <w:rPr>
          <w:sz w:val="20"/>
          <w:szCs w:val="20"/>
        </w:rPr>
        <w:t>Además de los factores del coste, se deberán definir los parámetros básicos para el CCV (periodo de evaluación, tasa de descuento</w:t>
      </w:r>
      <w:r w:rsidRPr="00257773">
        <w:rPr>
          <w:sz w:val="20"/>
          <w:szCs w:val="20"/>
        </w:rPr>
        <w:t>, coste de electricidad, etc.). Hay que solicitar esa información a los agentes internos.</w:t>
      </w:r>
    </w:p>
    <w:p w14:paraId="15260AC2" w14:textId="77777777" w:rsidR="006412FD" w:rsidRPr="00492B4C" w:rsidRDefault="006412FD" w:rsidP="00D1199C"/>
    <w:p w14:paraId="237272F1" w14:textId="2FEB722F" w:rsidR="00D1199C" w:rsidRPr="00257773" w:rsidRDefault="00D1199C" w:rsidP="00D1199C">
      <w:pPr>
        <w:pStyle w:val="Ttulo3"/>
        <w:rPr>
          <w:sz w:val="20"/>
          <w:szCs w:val="20"/>
        </w:rPr>
      </w:pPr>
      <w:r w:rsidRPr="00257773">
        <w:rPr>
          <w:sz w:val="20"/>
          <w:szCs w:val="20"/>
        </w:rPr>
        <w:t>Consultar con las partes relevantes</w:t>
      </w:r>
    </w:p>
    <w:p w14:paraId="12B44E97" w14:textId="48D1777C" w:rsidR="00387F70" w:rsidRPr="00257773" w:rsidRDefault="00387F70" w:rsidP="00387F70">
      <w:pPr>
        <w:rPr>
          <w:sz w:val="20"/>
          <w:szCs w:val="20"/>
        </w:rPr>
      </w:pPr>
      <w:r w:rsidRPr="00257773">
        <w:rPr>
          <w:sz w:val="20"/>
          <w:szCs w:val="20"/>
        </w:rPr>
        <w:t xml:space="preserve">Es importante involucrar a otros departamentos de su organización, </w:t>
      </w:r>
      <w:r w:rsidR="003D2E98">
        <w:rPr>
          <w:sz w:val="20"/>
          <w:szCs w:val="20"/>
        </w:rPr>
        <w:t>empresas proveedoras</w:t>
      </w:r>
      <w:r w:rsidR="003D2E98" w:rsidRPr="00257773">
        <w:rPr>
          <w:sz w:val="20"/>
          <w:szCs w:val="20"/>
        </w:rPr>
        <w:t xml:space="preserve"> </w:t>
      </w:r>
      <w:r w:rsidRPr="00257773">
        <w:rPr>
          <w:sz w:val="20"/>
          <w:szCs w:val="20"/>
        </w:rPr>
        <w:t xml:space="preserve">y otras partes interesadas (como gerentes de edificios, personal de mantenimiento, ocupantes), y entablar un diálogo con ellos. </w:t>
      </w:r>
    </w:p>
    <w:p w14:paraId="2A37A2C4" w14:textId="26E1BA26" w:rsidR="00387F70" w:rsidRPr="00257773" w:rsidRDefault="00387F70" w:rsidP="00387F70">
      <w:pPr>
        <w:rPr>
          <w:sz w:val="20"/>
          <w:szCs w:val="20"/>
        </w:rPr>
      </w:pPr>
      <w:r w:rsidRPr="00257773">
        <w:rPr>
          <w:sz w:val="20"/>
          <w:szCs w:val="20"/>
        </w:rPr>
        <w:t>Los departamentos internos pueden ayudar a identificar y priorizar los factores del coste y definir los parámetros para los cálculos de CCV (es decir, patrones de uso, tasa de descuento apropiada, coste de electricidad y emisiones de CO</w:t>
      </w:r>
      <w:r w:rsidRPr="00257773">
        <w:rPr>
          <w:sz w:val="20"/>
          <w:szCs w:val="20"/>
          <w:vertAlign w:val="subscript"/>
        </w:rPr>
        <w:t>2-eq</w:t>
      </w:r>
      <w:r w:rsidRPr="00257773">
        <w:rPr>
          <w:sz w:val="20"/>
          <w:szCs w:val="20"/>
        </w:rPr>
        <w:t xml:space="preserve"> </w:t>
      </w:r>
      <w:r w:rsidR="003D2E98">
        <w:rPr>
          <w:sz w:val="20"/>
          <w:szCs w:val="20"/>
        </w:rPr>
        <w:t>del</w:t>
      </w:r>
      <w:r w:rsidRPr="00257773">
        <w:rPr>
          <w:sz w:val="20"/>
          <w:szCs w:val="20"/>
        </w:rPr>
        <w:t xml:space="preserve"> contrato de energía si se incluyen externalidades, etc.).</w:t>
      </w:r>
    </w:p>
    <w:p w14:paraId="50ED43A8" w14:textId="19EE6030" w:rsidR="00387F70" w:rsidRPr="00257773" w:rsidRDefault="00387F70" w:rsidP="00387F70">
      <w:pPr>
        <w:rPr>
          <w:sz w:val="20"/>
          <w:szCs w:val="20"/>
        </w:rPr>
      </w:pPr>
      <w:r w:rsidRPr="00257773">
        <w:rPr>
          <w:sz w:val="20"/>
          <w:szCs w:val="20"/>
        </w:rPr>
        <w:t>L</w:t>
      </w:r>
      <w:r w:rsidR="003D2E98">
        <w:rPr>
          <w:sz w:val="20"/>
          <w:szCs w:val="20"/>
        </w:rPr>
        <w:t xml:space="preserve">as empresas </w:t>
      </w:r>
      <w:r w:rsidRPr="00257773">
        <w:rPr>
          <w:sz w:val="20"/>
          <w:szCs w:val="20"/>
        </w:rPr>
        <w:t>proveedor</w:t>
      </w:r>
      <w:r w:rsidR="003D2E98">
        <w:rPr>
          <w:sz w:val="20"/>
          <w:szCs w:val="20"/>
        </w:rPr>
        <w:t>a</w:t>
      </w:r>
      <w:r w:rsidRPr="00257773">
        <w:rPr>
          <w:sz w:val="20"/>
          <w:szCs w:val="20"/>
        </w:rPr>
        <w:t xml:space="preserve">s serán de gran ayuda para identificar los tipos de productos y soluciones </w:t>
      </w:r>
      <w:r w:rsidRPr="00257773">
        <w:rPr>
          <w:sz w:val="20"/>
          <w:szCs w:val="20"/>
        </w:rPr>
        <w:t>en el mercado que mejor satisfagan sus necesidades, las cuestiones de compatibilidad e interoperabilidad y, especialmente, el tipo de información y estándares disponibles para los diferentes factores y parámetros de costes que se quieren tener en cuenta en la adquisición. Consultar con l</w:t>
      </w:r>
      <w:r w:rsidR="003D2E98">
        <w:rPr>
          <w:sz w:val="20"/>
          <w:szCs w:val="20"/>
        </w:rPr>
        <w:t>as empresas proveedoras</w:t>
      </w:r>
      <w:r w:rsidRPr="00257773">
        <w:rPr>
          <w:sz w:val="20"/>
          <w:szCs w:val="20"/>
        </w:rPr>
        <w:t xml:space="preserve"> de antemano también ayuda a garantizar su aceptación del uso de CCV en la convocatoria de licitación.</w:t>
      </w:r>
      <w:r w:rsidR="00865BCB">
        <w:rPr>
          <w:sz w:val="20"/>
          <w:szCs w:val="20"/>
        </w:rPr>
        <w:t xml:space="preserve"> </w:t>
      </w:r>
      <w:r w:rsidRPr="00257773">
        <w:rPr>
          <w:sz w:val="20"/>
          <w:szCs w:val="20"/>
        </w:rPr>
        <w:t>Otros agentes podrán identificar otras preocupaciones que puedan afectar a los requisitos de iluminación en diferentes zonas y los sistemas de control de iluminación más adecuados.</w:t>
      </w:r>
    </w:p>
    <w:p w14:paraId="3278B2AD" w14:textId="4CF998D3" w:rsidR="00D1199C" w:rsidRPr="00257773" w:rsidRDefault="00387F70" w:rsidP="00387F70">
      <w:pPr>
        <w:rPr>
          <w:sz w:val="20"/>
          <w:szCs w:val="20"/>
        </w:rPr>
      </w:pPr>
      <w:r w:rsidRPr="00257773">
        <w:rPr>
          <w:sz w:val="20"/>
          <w:szCs w:val="20"/>
        </w:rPr>
        <w:t>Conviene usar toda esta información en el proceso de decisión para seleccionar el tipo de solución deseada, los criterios a considerar y cómo se utilizará la herramienta CCV en el proceso de licitación.</w:t>
      </w:r>
    </w:p>
    <w:p w14:paraId="41181BDA" w14:textId="1E68AC26" w:rsidR="00D64D4C" w:rsidRPr="00257773" w:rsidRDefault="00D64D4C" w:rsidP="00D1199C">
      <w:pPr>
        <w:rPr>
          <w:sz w:val="20"/>
          <w:szCs w:val="20"/>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449"/>
      </w:tblGrid>
      <w:tr w:rsidR="00284109" w:rsidRPr="00257773" w14:paraId="677154CC" w14:textId="77777777" w:rsidTr="00786208">
        <w:tc>
          <w:tcPr>
            <w:tcW w:w="4449" w:type="dxa"/>
            <w:tcBorders>
              <w:top w:val="nil"/>
              <w:left w:val="nil"/>
              <w:bottom w:val="nil"/>
              <w:right w:val="nil"/>
            </w:tcBorders>
            <w:shd w:val="clear" w:color="auto" w:fill="C8EBEB"/>
          </w:tcPr>
          <w:p w14:paraId="756DE5DA" w14:textId="0C8643DE" w:rsidR="00284109" w:rsidRPr="00257773" w:rsidRDefault="00284109" w:rsidP="00786208">
            <w:pPr>
              <w:spacing w:before="240"/>
              <w:jc w:val="left"/>
              <w:rPr>
                <w:b/>
                <w:sz w:val="20"/>
                <w:szCs w:val="20"/>
              </w:rPr>
            </w:pPr>
            <w:r w:rsidRPr="00257773">
              <w:rPr>
                <w:b/>
                <w:sz w:val="20"/>
                <w:szCs w:val="20"/>
              </w:rPr>
              <w:t>Datos necesarios de otras unidades</w:t>
            </w:r>
          </w:p>
          <w:p w14:paraId="1417DB0D" w14:textId="15E65DD0" w:rsidR="00284109" w:rsidRPr="00257773" w:rsidRDefault="00F358D0" w:rsidP="00FB27B3">
            <w:pPr>
              <w:jc w:val="left"/>
              <w:rPr>
                <w:sz w:val="20"/>
                <w:szCs w:val="20"/>
              </w:rPr>
            </w:pPr>
            <w:r w:rsidRPr="00257773">
              <w:rPr>
                <w:sz w:val="20"/>
                <w:szCs w:val="20"/>
              </w:rPr>
              <w:t>Antes de utilizar la herramienta CCV para adquisiciones, se debe establecer contacto con otros departamentos o unidades dentro de la organización para reunir todos los datos necesarios para la herramienta, ya que no todos estarán disponibles automáticamente. En algunos casos, es posible que también se deba consultar a otros organismos del sector público.</w:t>
            </w:r>
          </w:p>
          <w:p w14:paraId="723B4920" w14:textId="1BB8B428" w:rsidR="00284109" w:rsidRPr="00257773" w:rsidRDefault="00284109" w:rsidP="006412FD">
            <w:pPr>
              <w:spacing w:after="240"/>
              <w:jc w:val="left"/>
              <w:rPr>
                <w:sz w:val="20"/>
                <w:szCs w:val="20"/>
              </w:rPr>
            </w:pPr>
            <w:r w:rsidRPr="00257773">
              <w:rPr>
                <w:sz w:val="20"/>
                <w:szCs w:val="20"/>
              </w:rPr>
              <w:t>Por ejemplo, si se trata de una agencia gubernamental que opera en un edificio gestionado por el gobierno central, es posible que haya que identificar a la persona a cargo del contrato de suministro de electricidad para obtener la información sobre el coste de la electricidad (para poder calcular los costes de operación) y las emisiones de CO</w:t>
            </w:r>
            <w:r w:rsidRPr="00257773">
              <w:rPr>
                <w:sz w:val="20"/>
                <w:szCs w:val="20"/>
                <w:vertAlign w:val="subscript"/>
              </w:rPr>
              <w:t>2-eq</w:t>
            </w:r>
            <w:r w:rsidRPr="00257773">
              <w:rPr>
                <w:sz w:val="20"/>
                <w:szCs w:val="20"/>
              </w:rPr>
              <w:t xml:space="preserve"> asociadas de su electricidad (si se van a incluir las externalidades asociadas en el cálculo de CCV).</w:t>
            </w:r>
          </w:p>
        </w:tc>
      </w:tr>
    </w:tbl>
    <w:p w14:paraId="68C1EDBB" w14:textId="2AF5F5B7" w:rsidR="00EF66F0" w:rsidRDefault="00EF66F0" w:rsidP="002D3D04"/>
    <w:p w14:paraId="38E02740" w14:textId="0A4E9DD1" w:rsidR="00284109" w:rsidRDefault="00284109" w:rsidP="002D3D04"/>
    <w:p w14:paraId="1C720E52" w14:textId="77777777" w:rsidR="00E657B8" w:rsidRDefault="00E657B8" w:rsidP="002D3D04">
      <w:pPr>
        <w:sectPr w:rsidR="00E657B8" w:rsidSect="00DA5F1F">
          <w:type w:val="continuous"/>
          <w:pgSz w:w="11907" w:h="16840" w:code="9"/>
          <w:pgMar w:top="1418" w:right="1134" w:bottom="851" w:left="1134" w:header="567" w:footer="567" w:gutter="0"/>
          <w:cols w:num="2" w:space="720"/>
        </w:sectPr>
      </w:pPr>
    </w:p>
    <w:p w14:paraId="292F1AC5" w14:textId="77777777" w:rsidR="00E657B8" w:rsidRPr="00492B4C" w:rsidRDefault="00E657B8" w:rsidP="002D3D04"/>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DCF9F6"/>
        <w:tblLook w:val="00A0" w:firstRow="1" w:lastRow="0" w:firstColumn="1" w:lastColumn="0" w:noHBand="0" w:noVBand="0"/>
      </w:tblPr>
      <w:tblGrid>
        <w:gridCol w:w="9579"/>
      </w:tblGrid>
      <w:tr w:rsidR="002D3D04" w:rsidRPr="00492B4C" w14:paraId="0D581820" w14:textId="77777777" w:rsidTr="008F6F23">
        <w:tc>
          <w:tcPr>
            <w:tcW w:w="9779" w:type="dxa"/>
            <w:tcBorders>
              <w:top w:val="single" w:sz="24" w:space="0" w:color="1D9E9E"/>
              <w:left w:val="single" w:sz="24" w:space="0" w:color="1D9E9E"/>
              <w:bottom w:val="single" w:sz="24" w:space="0" w:color="1D9E9E"/>
              <w:right w:val="single" w:sz="24" w:space="0" w:color="1D9E9E"/>
            </w:tcBorders>
            <w:shd w:val="clear" w:color="auto" w:fill="auto"/>
          </w:tcPr>
          <w:p w14:paraId="0E0A3BC0" w14:textId="77777777" w:rsidR="00CD7826" w:rsidRPr="00492B4C" w:rsidRDefault="00CD7826" w:rsidP="00CD7826">
            <w:pPr>
              <w:spacing w:after="120"/>
              <w:rPr>
                <w:b/>
              </w:rPr>
            </w:pPr>
            <w:r>
              <w:rPr>
                <w:b/>
              </w:rPr>
              <w:t>Usar CCV antes del proceso de licitación</w:t>
            </w:r>
          </w:p>
          <w:p w14:paraId="58714B06" w14:textId="1BB9EF5F" w:rsidR="002D3D04" w:rsidRPr="00492B4C" w:rsidRDefault="002D3D04" w:rsidP="008F6F23">
            <w:pPr>
              <w:spacing w:after="120"/>
            </w:pPr>
            <w:r>
              <w:t>La herramienta CCV se puede utilizar en esta etapa para ayudar a seleccionar el tipo de solución a comprar, comparando diferentes soluciones mediante el uso de datos preliminares recopilados en el proceso de consulta.</w:t>
            </w:r>
          </w:p>
        </w:tc>
      </w:tr>
    </w:tbl>
    <w:p w14:paraId="2733EB81" w14:textId="77777777" w:rsidR="00E657B8" w:rsidRDefault="00E657B8" w:rsidP="002D3D04">
      <w:pPr>
        <w:sectPr w:rsidR="00E657B8" w:rsidSect="00E657B8">
          <w:type w:val="continuous"/>
          <w:pgSz w:w="11907" w:h="16840" w:code="9"/>
          <w:pgMar w:top="1418" w:right="1134" w:bottom="851" w:left="1134" w:header="567" w:footer="567" w:gutter="0"/>
          <w:cols w:space="720"/>
        </w:sectPr>
      </w:pPr>
    </w:p>
    <w:p w14:paraId="150D69F8" w14:textId="77777777" w:rsidR="0006270B" w:rsidRDefault="0006270B" w:rsidP="00D1199C">
      <w:pPr>
        <w:pStyle w:val="Ttulo1"/>
        <w:sectPr w:rsidR="0006270B" w:rsidSect="00E657B8">
          <w:type w:val="continuous"/>
          <w:pgSz w:w="11907" w:h="16840" w:code="9"/>
          <w:pgMar w:top="1418" w:right="1134" w:bottom="851" w:left="1134" w:header="567" w:footer="567" w:gutter="0"/>
          <w:cols w:num="2" w:space="720"/>
        </w:sectPr>
      </w:pPr>
    </w:p>
    <w:p w14:paraId="12B11D37" w14:textId="5A2D406D" w:rsidR="00D1199C" w:rsidRPr="00492B4C" w:rsidRDefault="00D1199C" w:rsidP="00B535C1">
      <w:pPr>
        <w:pStyle w:val="Ttulo1"/>
        <w:pBdr>
          <w:bottom w:val="none" w:sz="0" w:space="0" w:color="auto"/>
        </w:pBdr>
        <w:spacing w:before="240"/>
      </w:pPr>
      <w:r>
        <w:lastRenderedPageBreak/>
        <w:t>II. Cómo usar CCV durante el proceso de licitación</w:t>
      </w:r>
    </w:p>
    <w:p w14:paraId="2FBA8C11" w14:textId="6344E1FA" w:rsidR="00D1199C" w:rsidRDefault="00D1199C" w:rsidP="00D1199C"/>
    <w:p w14:paraId="1F173737" w14:textId="77777777" w:rsidR="00CD5EB1" w:rsidRPr="00492B4C" w:rsidRDefault="00CD5EB1" w:rsidP="00CD5EB1">
      <w:pPr>
        <w:rPr>
          <w:color w:val="1D9E9E"/>
          <w:sz w:val="24"/>
        </w:rPr>
      </w:pPr>
      <w:r>
        <w:rPr>
          <w:color w:val="1D9E9E"/>
          <w:sz w:val="24"/>
        </w:rPr>
        <w:t>Si en el proceso de licitación se prevé utilizar los costes del ciclo de vida en lugar del precio de compra puro para evaluar las ofertas económicas, se debe indicar claramente en los documentos de la licitación, proporcionar a la herramienta CCV los parámetros comunes para garantizar la transparencia, solicitar los datos necesarios para calcular los CCV y asegurarse de proporcionar definiciones y estándares claros para garantizar la comparabilidad de las ofertas.</w:t>
      </w:r>
    </w:p>
    <w:p w14:paraId="58ADF7C5" w14:textId="77777777" w:rsidR="00CD5EB1" w:rsidRDefault="00CD5EB1" w:rsidP="00CD5EB1">
      <w:pPr>
        <w:rPr>
          <w:color w:val="1D9E9E"/>
          <w:sz w:val="24"/>
        </w:rPr>
      </w:pPr>
      <w:r>
        <w:rPr>
          <w:color w:val="1D9E9E"/>
          <w:sz w:val="24"/>
        </w:rPr>
        <w:t>Es necesario reflexionar sobre qué criterios ambientales adicionales incluir para adoptar la mejor solución, desde un punto de vista económico y medioambiental.</w:t>
      </w:r>
    </w:p>
    <w:p w14:paraId="250722A6" w14:textId="77777777" w:rsidR="00CD5EB1" w:rsidRDefault="00CD5EB1" w:rsidP="00CD5EB1">
      <w:pPr>
        <w:rPr>
          <w:color w:val="1D9E9E"/>
          <w:sz w:val="24"/>
        </w:rPr>
      </w:pPr>
    </w:p>
    <w:p w14:paraId="1DC90B3B" w14:textId="77777777" w:rsidR="00CD5EB1" w:rsidRPr="00492B4C" w:rsidRDefault="00CD5EB1" w:rsidP="00CD5EB1">
      <w:pPr>
        <w:pStyle w:val="Ttulo3"/>
      </w:pPr>
      <w:r>
        <w:t>Decidir los parámetros del CCV y los criterios medioambientales</w:t>
      </w:r>
    </w:p>
    <w:p w14:paraId="544E8236" w14:textId="77777777" w:rsidR="00CD5EB1" w:rsidRDefault="00CD5EB1" w:rsidP="00CD5EB1">
      <w:pPr>
        <w:sectPr w:rsidR="00CD5EB1" w:rsidSect="00D64D4C">
          <w:headerReference w:type="default" r:id="rId23"/>
          <w:pgSz w:w="11907" w:h="16840" w:code="9"/>
          <w:pgMar w:top="1418" w:right="1134" w:bottom="851" w:left="1134" w:header="567" w:footer="567" w:gutter="0"/>
          <w:cols w:space="720"/>
        </w:sectPr>
      </w:pPr>
    </w:p>
    <w:p w14:paraId="0012F0BD" w14:textId="77777777" w:rsidR="009F0C00" w:rsidRPr="00A664DF" w:rsidRDefault="00CD5EB1" w:rsidP="00CD5EB1">
      <w:pPr>
        <w:rPr>
          <w:sz w:val="20"/>
          <w:szCs w:val="20"/>
        </w:rPr>
      </w:pPr>
      <w:r w:rsidRPr="00A664DF">
        <w:rPr>
          <w:sz w:val="20"/>
          <w:szCs w:val="20"/>
        </w:rPr>
        <w:t xml:space="preserve">La herramienta de CCV ha sido diseñada para poder considerar diferentes categorías de costes, de modo que pueda usarse en diferentes acuerdos y condiciones de contratación. </w:t>
      </w:r>
    </w:p>
    <w:p w14:paraId="44C09081" w14:textId="017BA91A" w:rsidR="00CD5EB1" w:rsidRPr="00A664DF" w:rsidRDefault="00CD5EB1" w:rsidP="00CD5EB1">
      <w:pPr>
        <w:rPr>
          <w:sz w:val="20"/>
          <w:szCs w:val="20"/>
        </w:rPr>
      </w:pPr>
      <w:r w:rsidRPr="00A664DF">
        <w:rPr>
          <w:sz w:val="20"/>
          <w:szCs w:val="20"/>
        </w:rPr>
        <w:t xml:space="preserve">En una etapa preliminar, es importante tener una visión completa de los costes para una mejor planificación. Sin embargo, no hace falta incluir todas estas categorías en el proceso de licitación si hay una buena razón para excluirlas. Además, dependiendo del tipo de contrato por el que licita, algunos parámetros no serán relevantes; por ejemplo, si licita por la luz como un servicio donde la instalación pertenece a la empresa contratada, los costes de adquisición no serán relevantes ya que dichos costes se cobrarán indirectamente a través de la tarifa del servicio. </w:t>
      </w:r>
    </w:p>
    <w:p w14:paraId="42C661AF" w14:textId="77777777" w:rsidR="00CD5EB1" w:rsidRPr="00A664DF" w:rsidRDefault="00CD5EB1" w:rsidP="00CD5EB1">
      <w:pPr>
        <w:rPr>
          <w:sz w:val="20"/>
          <w:szCs w:val="20"/>
        </w:rPr>
      </w:pPr>
      <w:r w:rsidRPr="00A664DF">
        <w:rPr>
          <w:sz w:val="20"/>
          <w:szCs w:val="20"/>
        </w:rPr>
        <w:t>Algunos parámetros, como el consumo de energía o la durabilidad, formarán parte del CCV y, por lo tanto, se evaluarán en la fase de adjudicación. Sin embargo, los niveles mínimos de rendimiento (en lúmenes por vatio para fuentes de luz y vatios por metro cuadrado para instalaciones de iluminación) deben definirse en las especificaciones técnicas para garantizar que las soluciones adquiridas sean ambientalmente preferibles desde el principio. Esto también se aplica a otros criterios que no forman parte del CCV y que deben incluirse en los documentos de licitación (como la temperatura de color de la luz, la reducción del embalaje, la gestión de residuos durante las instalaciones, etc.).</w:t>
      </w:r>
    </w:p>
    <w:p w14:paraId="08405B85" w14:textId="77777777" w:rsidR="00CD5EB1" w:rsidRPr="00A664DF" w:rsidRDefault="00CD5EB1" w:rsidP="00CD5EB1">
      <w:pPr>
        <w:rPr>
          <w:sz w:val="20"/>
          <w:szCs w:val="20"/>
        </w:rPr>
      </w:pPr>
    </w:p>
    <w:p w14:paraId="355CDF50" w14:textId="4F9E556F" w:rsidR="00CD5EB1" w:rsidRDefault="00CD5EB1" w:rsidP="00CD5EB1">
      <w:pPr>
        <w:sectPr w:rsidR="00CD5EB1" w:rsidSect="00CD5EB1">
          <w:type w:val="continuous"/>
          <w:pgSz w:w="11907" w:h="16840" w:code="9"/>
          <w:pgMar w:top="1418" w:right="1134" w:bottom="851" w:left="1134" w:header="567" w:footer="567" w:gutter="0"/>
          <w:cols w:num="2" w:space="720"/>
        </w:sectPr>
      </w:pPr>
    </w:p>
    <w:p w14:paraId="455EDAD6" w14:textId="77777777" w:rsidR="00CD5EB1" w:rsidRPr="00492B4C" w:rsidRDefault="00CD5EB1" w:rsidP="00CD5EB1">
      <w:pPr>
        <w:spacing w:before="0"/>
      </w:pPr>
    </w:p>
    <w:tbl>
      <w:tblPr>
        <w:tblW w:w="95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527"/>
      </w:tblGrid>
      <w:tr w:rsidR="00CD5EB1" w:rsidRPr="00492B4C" w14:paraId="6498CC03" w14:textId="77777777" w:rsidTr="00F41374">
        <w:trPr>
          <w:trHeight w:val="1065"/>
        </w:trPr>
        <w:tc>
          <w:tcPr>
            <w:tcW w:w="9527" w:type="dxa"/>
            <w:tcBorders>
              <w:top w:val="nil"/>
              <w:left w:val="nil"/>
              <w:bottom w:val="nil"/>
              <w:right w:val="nil"/>
            </w:tcBorders>
            <w:shd w:val="clear" w:color="auto" w:fill="C8EBEB"/>
          </w:tcPr>
          <w:p w14:paraId="62FE2572" w14:textId="3E20E518" w:rsidR="00CD5EB1" w:rsidRPr="008379AD" w:rsidRDefault="00610A28" w:rsidP="00F41374">
            <w:pPr>
              <w:spacing w:before="240"/>
              <w:jc w:val="left"/>
              <w:rPr>
                <w:b/>
                <w:sz w:val="20"/>
                <w:szCs w:val="20"/>
              </w:rPr>
            </w:pPr>
            <w:r>
              <w:rPr>
                <w:b/>
                <w:sz w:val="20"/>
                <w:szCs w:val="20"/>
              </w:rPr>
              <w:t xml:space="preserve">Criterios de Compra Pública Verde para </w:t>
            </w:r>
            <w:r w:rsidR="00CD5EB1">
              <w:rPr>
                <w:b/>
                <w:sz w:val="20"/>
                <w:szCs w:val="20"/>
              </w:rPr>
              <w:t>iluminación interior</w:t>
            </w:r>
          </w:p>
          <w:p w14:paraId="2A0AA9C6" w14:textId="2D4B6308" w:rsidR="00610A28" w:rsidRDefault="00610A28" w:rsidP="00610A28">
            <w:pPr>
              <w:spacing w:after="240"/>
              <w:jc w:val="left"/>
              <w:rPr>
                <w:sz w:val="20"/>
                <w:szCs w:val="20"/>
              </w:rPr>
            </w:pPr>
            <w:r>
              <w:rPr>
                <w:sz w:val="20"/>
                <w:szCs w:val="20"/>
              </w:rPr>
              <w:t>Para identificar los criterios medioambientales relevantes para iluminación interior se pueden usar los criterios de Compra Pública Verde para esta categoría publicados por Ihobe (</w:t>
            </w:r>
            <w:hyperlink r:id="rId24" w:history="1">
              <w:r w:rsidRPr="00C42BF1">
                <w:rPr>
                  <w:rStyle w:val="Hipervnculo"/>
                  <w:sz w:val="20"/>
                  <w:szCs w:val="20"/>
                </w:rPr>
                <w:t>http://www.ihobe.eus/criterios-ambientales</w:t>
              </w:r>
            </w:hyperlink>
            <w:r>
              <w:rPr>
                <w:sz w:val="20"/>
                <w:szCs w:val="20"/>
              </w:rPr>
              <w:t>).</w:t>
            </w:r>
          </w:p>
          <w:p w14:paraId="7C80ED78" w14:textId="23EF560C" w:rsidR="00610A28" w:rsidRPr="008379AD" w:rsidRDefault="00610A28" w:rsidP="00DC6C1F">
            <w:pPr>
              <w:spacing w:after="240"/>
              <w:jc w:val="left"/>
              <w:rPr>
                <w:sz w:val="20"/>
                <w:szCs w:val="20"/>
              </w:rPr>
            </w:pPr>
            <w:r>
              <w:rPr>
                <w:sz w:val="20"/>
                <w:szCs w:val="20"/>
              </w:rPr>
              <w:t>Aunque, de momento, no existen criterios de CPE de la UE para la iluminación interior, otros Estados miembros y proyectos financiados por la UE también han definido criterios de adquisición ecológica para esta categoría de productos. Algunos se enumeran aquí, aunque puede que no todos estén actualizados debido a los rápidos cambios en el mercado:</w:t>
            </w:r>
          </w:p>
          <w:p w14:paraId="792304FC" w14:textId="77777777" w:rsidR="00610A28" w:rsidRPr="008379AD" w:rsidRDefault="00610A28" w:rsidP="00610A28">
            <w:pPr>
              <w:pStyle w:val="Prrafodelista"/>
              <w:numPr>
                <w:ilvl w:val="0"/>
                <w:numId w:val="43"/>
              </w:numPr>
              <w:jc w:val="left"/>
              <w:rPr>
                <w:sz w:val="20"/>
                <w:szCs w:val="20"/>
              </w:rPr>
            </w:pPr>
            <w:r>
              <w:t>La</w:t>
            </w:r>
            <w:r>
              <w:rPr>
                <w:sz w:val="20"/>
                <w:szCs w:val="20"/>
              </w:rPr>
              <w:t xml:space="preserve"> </w:t>
            </w:r>
            <w:hyperlink r:id="rId25" w:history="1">
              <w:r>
                <w:rPr>
                  <w:rStyle w:val="Hipervnculo"/>
                  <w:sz w:val="20"/>
                  <w:szCs w:val="20"/>
                </w:rPr>
                <w:t>Guía práctica de iluminación interior de Premium Light Pro</w:t>
              </w:r>
            </w:hyperlink>
            <w:r>
              <w:rPr>
                <w:sz w:val="20"/>
                <w:szCs w:val="20"/>
              </w:rPr>
              <w:t xml:space="preserve"> (disponible en diferentes lenguas de la UE, publicada en septiembre de 2017).</w:t>
            </w:r>
          </w:p>
          <w:p w14:paraId="4F832311" w14:textId="77777777" w:rsidR="00610A28" w:rsidRPr="008379AD" w:rsidRDefault="00610A28" w:rsidP="00610A28">
            <w:pPr>
              <w:pStyle w:val="Prrafodelista"/>
              <w:numPr>
                <w:ilvl w:val="0"/>
                <w:numId w:val="43"/>
              </w:numPr>
              <w:jc w:val="left"/>
              <w:rPr>
                <w:sz w:val="20"/>
                <w:szCs w:val="20"/>
              </w:rPr>
            </w:pPr>
            <w:r>
              <w:rPr>
                <w:sz w:val="20"/>
                <w:szCs w:val="20"/>
              </w:rPr>
              <w:t xml:space="preserve">Las </w:t>
            </w:r>
            <w:hyperlink r:id="rId26" w:history="1">
              <w:r>
                <w:rPr>
                  <w:rStyle w:val="Hipervnculo"/>
                  <w:sz w:val="20"/>
                  <w:szCs w:val="20"/>
                </w:rPr>
                <w:t>Directrices de la Agencia Danesa de Energía</w:t>
              </w:r>
            </w:hyperlink>
            <w:r>
              <w:rPr>
                <w:sz w:val="20"/>
                <w:szCs w:val="20"/>
              </w:rPr>
              <w:t xml:space="preserve"> (disponibles en danés, página actualizada en septiembre de 2017).</w:t>
            </w:r>
          </w:p>
          <w:p w14:paraId="74E53630" w14:textId="77777777" w:rsidR="00610A28" w:rsidRPr="008379AD" w:rsidRDefault="00610A28" w:rsidP="00610A28">
            <w:pPr>
              <w:pStyle w:val="Prrafodelista"/>
              <w:numPr>
                <w:ilvl w:val="0"/>
                <w:numId w:val="43"/>
              </w:numPr>
              <w:jc w:val="left"/>
              <w:rPr>
                <w:sz w:val="20"/>
                <w:szCs w:val="20"/>
              </w:rPr>
            </w:pPr>
            <w:r>
              <w:rPr>
                <w:sz w:val="20"/>
                <w:szCs w:val="20"/>
              </w:rPr>
              <w:t xml:space="preserve">Los </w:t>
            </w:r>
            <w:hyperlink r:id="rId27" w:history="1">
              <w:r>
                <w:rPr>
                  <w:rStyle w:val="Hipervnculo"/>
                  <w:sz w:val="20"/>
                  <w:szCs w:val="20"/>
                </w:rPr>
                <w:t>estándares de adquisición pública de bombillas de Reino Unido</w:t>
              </w:r>
            </w:hyperlink>
            <w:r>
              <w:rPr>
                <w:sz w:val="20"/>
                <w:szCs w:val="20"/>
              </w:rPr>
              <w:t xml:space="preserve"> (publicados en septiembre de 2015).</w:t>
            </w:r>
          </w:p>
          <w:p w14:paraId="428E351F" w14:textId="3405B95B" w:rsidR="00610A28" w:rsidRPr="00865BCB" w:rsidRDefault="00610A28" w:rsidP="00DC6C1F">
            <w:pPr>
              <w:pStyle w:val="Prrafodelista"/>
              <w:numPr>
                <w:ilvl w:val="0"/>
                <w:numId w:val="43"/>
              </w:numPr>
              <w:spacing w:after="240"/>
              <w:ind w:left="357" w:hanging="357"/>
              <w:jc w:val="left"/>
              <w:rPr>
                <w:sz w:val="20"/>
                <w:szCs w:val="20"/>
              </w:rPr>
            </w:pPr>
            <w:r>
              <w:t>Las</w:t>
            </w:r>
            <w:r>
              <w:rPr>
                <w:sz w:val="20"/>
                <w:szCs w:val="20"/>
              </w:rPr>
              <w:t xml:space="preserve"> </w:t>
            </w:r>
            <w:hyperlink r:id="rId28" w:history="1">
              <w:r>
                <w:rPr>
                  <w:rStyle w:val="Hipervnculo"/>
                  <w:sz w:val="20"/>
                  <w:szCs w:val="20"/>
                </w:rPr>
                <w:t>recomendaciones de Topten.eu sobre mejores productos de Europa</w:t>
              </w:r>
            </w:hyperlink>
            <w:r>
              <w:rPr>
                <w:sz w:val="20"/>
                <w:szCs w:val="20"/>
              </w:rPr>
              <w:t xml:space="preserve"> (publicadas en noviembre de 2013).</w:t>
            </w:r>
          </w:p>
        </w:tc>
      </w:tr>
    </w:tbl>
    <w:p w14:paraId="54D7828E" w14:textId="77777777" w:rsidR="00CD5EB1" w:rsidRPr="00492B4C" w:rsidRDefault="00CD5EB1" w:rsidP="00CD5EB1">
      <w:pPr>
        <w:spacing w:before="0"/>
      </w:pPr>
    </w:p>
    <w:tbl>
      <w:tblPr>
        <w:tblW w:w="95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527"/>
      </w:tblGrid>
      <w:tr w:rsidR="00CD5EB1" w:rsidRPr="00492B4C" w14:paraId="6AA6C75D" w14:textId="77777777" w:rsidTr="00F41374">
        <w:trPr>
          <w:trHeight w:val="1065"/>
        </w:trPr>
        <w:tc>
          <w:tcPr>
            <w:tcW w:w="9527" w:type="dxa"/>
            <w:tcBorders>
              <w:top w:val="nil"/>
              <w:left w:val="nil"/>
              <w:bottom w:val="nil"/>
              <w:right w:val="nil"/>
            </w:tcBorders>
            <w:shd w:val="clear" w:color="auto" w:fill="C8EBEB"/>
          </w:tcPr>
          <w:p w14:paraId="592788A8" w14:textId="77777777" w:rsidR="00CD5EB1" w:rsidRPr="00993E03" w:rsidRDefault="00CD5EB1" w:rsidP="00865BCB">
            <w:pPr>
              <w:jc w:val="left"/>
              <w:rPr>
                <w:b/>
                <w:sz w:val="20"/>
                <w:szCs w:val="20"/>
              </w:rPr>
            </w:pPr>
            <w:r>
              <w:rPr>
                <w:b/>
                <w:sz w:val="20"/>
                <w:szCs w:val="20"/>
              </w:rPr>
              <w:lastRenderedPageBreak/>
              <w:t>¿Podemos definir otros criterios de adjudicación relacionados con el consumo de energía?</w:t>
            </w:r>
          </w:p>
          <w:p w14:paraId="5CB28486" w14:textId="77777777" w:rsidR="00CD5EB1" w:rsidRPr="00993E03" w:rsidRDefault="00CD5EB1" w:rsidP="00F41374">
            <w:pPr>
              <w:ind w:right="137"/>
              <w:jc w:val="left"/>
              <w:rPr>
                <w:sz w:val="20"/>
                <w:szCs w:val="20"/>
              </w:rPr>
            </w:pPr>
            <w:r>
              <w:rPr>
                <w:sz w:val="20"/>
                <w:szCs w:val="20"/>
              </w:rPr>
              <w:t>Como la iluminación interior es un producto que consume energía, se han incluido en la herramienta CCV los costes de operación basados en el consumo de energía. El consumo energético en el uso se incluirá en el CCV y, por lo tanto, se considerará parte de los criterios de adjudicación de costes, no debe duplicarse en ninguna otra parte de los criterios de adjudicación.</w:t>
            </w:r>
          </w:p>
          <w:p w14:paraId="4792ED4F" w14:textId="77777777" w:rsidR="00CD5EB1" w:rsidRPr="00492B4C" w:rsidRDefault="00CD5EB1" w:rsidP="00865BCB">
            <w:pPr>
              <w:spacing w:after="120"/>
              <w:jc w:val="left"/>
            </w:pPr>
            <w:r>
              <w:rPr>
                <w:sz w:val="20"/>
                <w:szCs w:val="20"/>
              </w:rPr>
              <w:t>Sin embargo, es perfectamente posible combinar el CCV con especificaciones técnicas que establecen requisitos mínimos para la eficiencia energética. También es posible combinar el CCV con criterios de adjudicación basados en otros aspectos del desempeño medioambiental, como, por ejemplo, consideraciones sobre el final de la vida útil.</w:t>
            </w:r>
            <w:r>
              <w:t xml:space="preserve"> </w:t>
            </w:r>
          </w:p>
        </w:tc>
      </w:tr>
    </w:tbl>
    <w:p w14:paraId="1B3B288F" w14:textId="77777777" w:rsidR="00CD5EB1" w:rsidRPr="00865BCB" w:rsidRDefault="00CD5EB1" w:rsidP="00CD5EB1">
      <w:pPr>
        <w:spacing w:before="0"/>
        <w:rPr>
          <w:sz w:val="18"/>
          <w:szCs w:val="18"/>
        </w:rPr>
      </w:pPr>
    </w:p>
    <w:tbl>
      <w:tblPr>
        <w:tblW w:w="95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527"/>
      </w:tblGrid>
      <w:tr w:rsidR="00CD5EB1" w:rsidRPr="00492B4C" w14:paraId="4C99689C" w14:textId="77777777" w:rsidTr="00F41374">
        <w:trPr>
          <w:trHeight w:val="132"/>
        </w:trPr>
        <w:tc>
          <w:tcPr>
            <w:tcW w:w="9527" w:type="dxa"/>
            <w:tcBorders>
              <w:top w:val="nil"/>
              <w:left w:val="nil"/>
              <w:bottom w:val="nil"/>
              <w:right w:val="nil"/>
            </w:tcBorders>
            <w:shd w:val="clear" w:color="auto" w:fill="C8EBEB"/>
          </w:tcPr>
          <w:p w14:paraId="478FAD65" w14:textId="77777777" w:rsidR="00CD5EB1" w:rsidRPr="00A9207D" w:rsidRDefault="00CD5EB1" w:rsidP="00865BCB">
            <w:pPr>
              <w:jc w:val="left"/>
              <w:rPr>
                <w:b/>
                <w:sz w:val="20"/>
                <w:szCs w:val="20"/>
              </w:rPr>
            </w:pPr>
            <w:r>
              <w:rPr>
                <w:b/>
                <w:sz w:val="20"/>
                <w:szCs w:val="20"/>
              </w:rPr>
              <w:t>¿Deberíamos considerar las externalidades de CO</w:t>
            </w:r>
            <w:r>
              <w:rPr>
                <w:b/>
                <w:sz w:val="20"/>
                <w:szCs w:val="20"/>
                <w:vertAlign w:val="subscript"/>
              </w:rPr>
              <w:t>2</w:t>
            </w:r>
            <w:r>
              <w:rPr>
                <w:b/>
                <w:sz w:val="20"/>
                <w:szCs w:val="20"/>
              </w:rPr>
              <w:t xml:space="preserve"> en el CCV o como un criterio de adjudicación independiente?</w:t>
            </w:r>
          </w:p>
          <w:p w14:paraId="6DFBE56A" w14:textId="4F917E9E" w:rsidR="00CD5EB1" w:rsidRPr="00257773" w:rsidRDefault="00CD5EB1" w:rsidP="00F41374">
            <w:pPr>
              <w:jc w:val="left"/>
              <w:rPr>
                <w:sz w:val="20"/>
                <w:szCs w:val="20"/>
              </w:rPr>
            </w:pPr>
            <w:r w:rsidRPr="00257773">
              <w:rPr>
                <w:sz w:val="20"/>
                <w:szCs w:val="20"/>
              </w:rPr>
              <w:t>Las directivas de contrataciones dejan claro que el CCV puede incluir costes de externalidades medioambientales, así como los costes en que haya incurrido directamente el propietario o usuario. Para ello, debe ser posible determinar y verificar el coste de la externalidad, y este es el caso de las emisiones de CO</w:t>
            </w:r>
            <w:r w:rsidRPr="00257773">
              <w:rPr>
                <w:sz w:val="20"/>
                <w:szCs w:val="20"/>
                <w:vertAlign w:val="subscript"/>
              </w:rPr>
              <w:t>2-eq</w:t>
            </w:r>
            <w:r w:rsidRPr="00257773">
              <w:rPr>
                <w:sz w:val="20"/>
                <w:szCs w:val="20"/>
              </w:rPr>
              <w:t xml:space="preserve"> basadas en el consumo de energía.</w:t>
            </w:r>
          </w:p>
          <w:p w14:paraId="739CF8A8" w14:textId="1DF3A01E" w:rsidR="00CD5EB1" w:rsidRPr="00257773" w:rsidRDefault="00CD5EB1" w:rsidP="00F41374">
            <w:pPr>
              <w:jc w:val="left"/>
              <w:rPr>
                <w:sz w:val="20"/>
                <w:szCs w:val="20"/>
              </w:rPr>
            </w:pPr>
            <w:r w:rsidRPr="00257773">
              <w:rPr>
                <w:sz w:val="20"/>
                <w:szCs w:val="20"/>
              </w:rPr>
              <w:t>Se puede elegir si incluir el coste de las emisiones de CO</w:t>
            </w:r>
            <w:r w:rsidRPr="00257773">
              <w:rPr>
                <w:sz w:val="20"/>
                <w:szCs w:val="20"/>
                <w:vertAlign w:val="subscript"/>
              </w:rPr>
              <w:t>2-eq</w:t>
            </w:r>
            <w:r w:rsidRPr="00257773">
              <w:rPr>
                <w:sz w:val="20"/>
                <w:szCs w:val="20"/>
              </w:rPr>
              <w:t xml:space="preserve"> en el CCV, o si aplicar un criterio de adjudicación independiente para dicho coste.</w:t>
            </w:r>
          </w:p>
          <w:p w14:paraId="67FC4DA0" w14:textId="3480B104" w:rsidR="00CD5EB1" w:rsidRPr="00A9207D" w:rsidRDefault="00CD5EB1" w:rsidP="00F41374">
            <w:pPr>
              <w:jc w:val="left"/>
              <w:rPr>
                <w:sz w:val="20"/>
                <w:szCs w:val="20"/>
              </w:rPr>
            </w:pPr>
            <w:r w:rsidRPr="00257773">
              <w:rPr>
                <w:sz w:val="20"/>
                <w:szCs w:val="20"/>
              </w:rPr>
              <w:t>Si se opta por incluirlos en la herramienta, se deberá especificar el coste externo de las emisiones de CO</w:t>
            </w:r>
            <w:r w:rsidRPr="00257773">
              <w:rPr>
                <w:sz w:val="20"/>
                <w:szCs w:val="20"/>
                <w:vertAlign w:val="subscript"/>
              </w:rPr>
              <w:t>2-eq</w:t>
            </w:r>
            <w:r w:rsidRPr="00257773">
              <w:rPr>
                <w:sz w:val="20"/>
                <w:szCs w:val="20"/>
              </w:rPr>
              <w:t>. En el ámbito de la UE, un informe para la DG Transporte sobre la «</w:t>
            </w:r>
            <w:hyperlink r:id="rId29" w:history="1">
              <w:r w:rsidRPr="00257773">
                <w:rPr>
                  <w:rStyle w:val="Hipervnculo"/>
                  <w:sz w:val="20"/>
                  <w:szCs w:val="20"/>
                </w:rPr>
                <w:t>Actualización del manual sobre los costes externos del transporte</w:t>
              </w:r>
            </w:hyperlink>
            <w:r w:rsidRPr="00257773">
              <w:rPr>
                <w:sz w:val="20"/>
                <w:szCs w:val="20"/>
              </w:rPr>
              <w:t xml:space="preserve">» de Ricardo-AEA, de 2014, propone un valor central de 90 EUR por tonelada (a precios de 2010) de un rango de 48-168 EUR. En algunos países, el gobierno puede establecer otras cifras. Por lo tanto, los profesionales deberán especificar los costes de la externalidad del cambio climático asegurándose de que la cifra que utilizan se ajuste a los requisitos definidos en el artículo 68.2 de la </w:t>
            </w:r>
            <w:hyperlink r:id="rId30" w:history="1">
              <w:r w:rsidRPr="00257773">
                <w:rPr>
                  <w:rStyle w:val="Hipervnculo"/>
                  <w:sz w:val="20"/>
                  <w:szCs w:val="20"/>
                </w:rPr>
                <w:t>Directiva 2014/24/UE sobre contratación pública</w:t>
              </w:r>
            </w:hyperlink>
            <w:r w:rsidR="00610A28" w:rsidRPr="00E424C5">
              <w:rPr>
                <w:rStyle w:val="Hipervnculo"/>
                <w:sz w:val="20"/>
                <w:szCs w:val="20"/>
              </w:rPr>
              <w:t xml:space="preserve"> o equivalente artículo 148.3 de la </w:t>
            </w:r>
            <w:hyperlink r:id="rId31" w:history="1">
              <w:r w:rsidR="00610A28" w:rsidRPr="00E424C5">
                <w:rPr>
                  <w:rStyle w:val="Hipervnculo"/>
                  <w:sz w:val="20"/>
                  <w:szCs w:val="20"/>
                </w:rPr>
                <w:t>Ley 9/2017 de Contratos del Sector Público</w:t>
              </w:r>
            </w:hyperlink>
            <w:r w:rsidRPr="00257773">
              <w:rPr>
                <w:sz w:val="20"/>
                <w:szCs w:val="20"/>
              </w:rPr>
              <w:t>. En la herramienta, se propone utilizar 90 EUR</w:t>
            </w:r>
            <w:r>
              <w:rPr>
                <w:sz w:val="20"/>
                <w:szCs w:val="20"/>
              </w:rPr>
              <w:t>/CO</w:t>
            </w:r>
            <w:r>
              <w:rPr>
                <w:sz w:val="20"/>
                <w:szCs w:val="20"/>
                <w:vertAlign w:val="subscript"/>
              </w:rPr>
              <w:t>2-eq</w:t>
            </w:r>
            <w:r>
              <w:rPr>
                <w:sz w:val="20"/>
                <w:szCs w:val="20"/>
              </w:rPr>
              <w:t>.</w:t>
            </w:r>
          </w:p>
          <w:p w14:paraId="553AD20F" w14:textId="747ACF48" w:rsidR="00CD5EB1" w:rsidRPr="00492B4C" w:rsidRDefault="00CD5EB1" w:rsidP="00865BCB">
            <w:pPr>
              <w:spacing w:after="120"/>
              <w:jc w:val="left"/>
            </w:pPr>
            <w:r>
              <w:rPr>
                <w:sz w:val="20"/>
                <w:szCs w:val="20"/>
              </w:rPr>
              <w:t>Si se aplica un criterio de adjudicación independiente basado en las emisiones de CO</w:t>
            </w:r>
            <w:r>
              <w:rPr>
                <w:sz w:val="20"/>
                <w:szCs w:val="20"/>
                <w:vertAlign w:val="subscript"/>
              </w:rPr>
              <w:t>2-eq</w:t>
            </w:r>
            <w:r>
              <w:rPr>
                <w:sz w:val="20"/>
                <w:szCs w:val="20"/>
              </w:rPr>
              <w:t>, se le puede asignar una ponderación más alta de la que habría tenido si se hubiera considerado dentro del CCV. Este enfoque puede tener sentido si existe especial preocupación por el impacto climático de la solución que se compra.</w:t>
            </w:r>
          </w:p>
        </w:tc>
      </w:tr>
    </w:tbl>
    <w:p w14:paraId="359D0EEF" w14:textId="1383D858" w:rsidR="00D1199C" w:rsidRPr="00865BCB" w:rsidRDefault="00D1199C" w:rsidP="00D1199C">
      <w:pPr>
        <w:rPr>
          <w:sz w:val="18"/>
          <w:szCs w:val="18"/>
        </w:rPr>
      </w:pPr>
    </w:p>
    <w:tbl>
      <w:tblPr>
        <w:tblStyle w:val="Tablaconcuadrcula"/>
        <w:tblW w:w="0" w:type="auto"/>
        <w:tblLook w:val="04A0" w:firstRow="1" w:lastRow="0" w:firstColumn="1" w:lastColumn="0" w:noHBand="0" w:noVBand="1"/>
      </w:tblPr>
      <w:tblGrid>
        <w:gridCol w:w="4826"/>
        <w:gridCol w:w="4803"/>
      </w:tblGrid>
      <w:tr w:rsidR="00605FDD" w:rsidRPr="00492B4C" w14:paraId="276418E7" w14:textId="77777777" w:rsidTr="00C7076F">
        <w:trPr>
          <w:cnfStyle w:val="100000000000" w:firstRow="1" w:lastRow="0" w:firstColumn="0" w:lastColumn="0" w:oddVBand="0" w:evenVBand="0" w:oddHBand="0" w:evenHBand="0" w:firstRowFirstColumn="0" w:firstRowLastColumn="0" w:lastRowFirstColumn="0" w:lastRowLastColumn="0"/>
        </w:trPr>
        <w:tc>
          <w:tcPr>
            <w:tcW w:w="4826" w:type="dxa"/>
            <w:shd w:val="clear" w:color="auto" w:fill="1D9E9E"/>
            <w:vAlign w:val="center"/>
          </w:tcPr>
          <w:p w14:paraId="1D508949" w14:textId="77777777" w:rsidR="00605FDD" w:rsidRPr="00A57656" w:rsidRDefault="00605FDD" w:rsidP="00A57656">
            <w:pPr>
              <w:spacing w:before="80"/>
              <w:ind w:right="-101"/>
              <w:jc w:val="center"/>
              <w:rPr>
                <w:color w:val="FFFFFF" w:themeColor="background1"/>
                <w:sz w:val="20"/>
                <w:szCs w:val="20"/>
              </w:rPr>
            </w:pPr>
            <w:r>
              <w:rPr>
                <w:color w:val="FFFFFF" w:themeColor="background1"/>
                <w:sz w:val="20"/>
                <w:szCs w:val="20"/>
              </w:rPr>
              <w:t>Factores de coste incluidos en la herramienta CCV y utilizados para evaluar las ofertas económicas en la adjudicación del contrato</w:t>
            </w:r>
          </w:p>
        </w:tc>
        <w:tc>
          <w:tcPr>
            <w:tcW w:w="4803" w:type="dxa"/>
            <w:shd w:val="clear" w:color="auto" w:fill="1D9E9E"/>
            <w:vAlign w:val="center"/>
          </w:tcPr>
          <w:p w14:paraId="35AF768F" w14:textId="77777777" w:rsidR="00605FDD" w:rsidRPr="00A57656" w:rsidRDefault="00605FDD" w:rsidP="00A57656">
            <w:pPr>
              <w:spacing w:before="80"/>
              <w:jc w:val="center"/>
              <w:rPr>
                <w:color w:val="FFFFFF" w:themeColor="background1"/>
                <w:sz w:val="20"/>
                <w:szCs w:val="20"/>
              </w:rPr>
            </w:pPr>
            <w:proofErr w:type="gramStart"/>
            <w:r>
              <w:rPr>
                <w:color w:val="FFFFFF" w:themeColor="background1"/>
                <w:sz w:val="20"/>
                <w:szCs w:val="20"/>
              </w:rPr>
              <w:t>Otros aspectos a incluir</w:t>
            </w:r>
            <w:proofErr w:type="gramEnd"/>
            <w:r>
              <w:rPr>
                <w:color w:val="FFFFFF" w:themeColor="background1"/>
                <w:sz w:val="20"/>
                <w:szCs w:val="20"/>
              </w:rPr>
              <w:t xml:space="preserve"> en la licitación como especificaciones técnicas, criterios de adjudicación o cláusulas contractuales</w:t>
            </w:r>
          </w:p>
        </w:tc>
      </w:tr>
      <w:tr w:rsidR="00605FDD" w:rsidRPr="00492B4C" w14:paraId="4DE4913F" w14:textId="77777777" w:rsidTr="00C7076F">
        <w:trPr>
          <w:trHeight w:val="3118"/>
        </w:trPr>
        <w:tc>
          <w:tcPr>
            <w:tcW w:w="4826" w:type="dxa"/>
            <w:shd w:val="clear" w:color="auto" w:fill="FFFFFF" w:themeFill="background1"/>
          </w:tcPr>
          <w:p w14:paraId="461C1E4C" w14:textId="77777777" w:rsidR="00605FDD" w:rsidRPr="00A57656" w:rsidRDefault="00605FDD" w:rsidP="00A57656">
            <w:pPr>
              <w:numPr>
                <w:ilvl w:val="0"/>
                <w:numId w:val="33"/>
              </w:numPr>
              <w:spacing w:before="80"/>
              <w:jc w:val="left"/>
              <w:rPr>
                <w:sz w:val="20"/>
                <w:szCs w:val="20"/>
              </w:rPr>
            </w:pPr>
            <w:r>
              <w:rPr>
                <w:sz w:val="20"/>
                <w:szCs w:val="20"/>
              </w:rPr>
              <w:t>Costes de adquisición</w:t>
            </w:r>
          </w:p>
          <w:p w14:paraId="3FC33548" w14:textId="77777777" w:rsidR="00605FDD" w:rsidRPr="00A57656" w:rsidRDefault="00605FDD" w:rsidP="00A57656">
            <w:pPr>
              <w:numPr>
                <w:ilvl w:val="0"/>
                <w:numId w:val="33"/>
              </w:numPr>
              <w:spacing w:before="80"/>
              <w:jc w:val="left"/>
              <w:rPr>
                <w:sz w:val="20"/>
                <w:szCs w:val="20"/>
              </w:rPr>
            </w:pPr>
            <w:r>
              <w:rPr>
                <w:sz w:val="20"/>
                <w:szCs w:val="20"/>
              </w:rPr>
              <w:t>Gastos de entrega e instalación</w:t>
            </w:r>
          </w:p>
          <w:p w14:paraId="3EDFE5AC" w14:textId="62444393" w:rsidR="00605FDD" w:rsidRPr="00A57656" w:rsidRDefault="00605FDD" w:rsidP="00A57656">
            <w:pPr>
              <w:numPr>
                <w:ilvl w:val="0"/>
                <w:numId w:val="33"/>
              </w:numPr>
              <w:spacing w:before="80"/>
              <w:jc w:val="left"/>
              <w:rPr>
                <w:sz w:val="20"/>
                <w:szCs w:val="20"/>
              </w:rPr>
            </w:pPr>
            <w:r>
              <w:rPr>
                <w:sz w:val="20"/>
                <w:szCs w:val="20"/>
              </w:rPr>
              <w:t>Costes de mantenimiento y reparación</w:t>
            </w:r>
          </w:p>
          <w:p w14:paraId="2E7ABB25" w14:textId="272E9875" w:rsidR="00605FDD" w:rsidRPr="00A57656" w:rsidRDefault="00EE0899" w:rsidP="00A57656">
            <w:pPr>
              <w:numPr>
                <w:ilvl w:val="0"/>
                <w:numId w:val="33"/>
              </w:numPr>
              <w:spacing w:before="80"/>
              <w:jc w:val="left"/>
              <w:rPr>
                <w:sz w:val="20"/>
                <w:szCs w:val="20"/>
              </w:rPr>
            </w:pPr>
            <w:r>
              <w:rPr>
                <w:noProof/>
                <w:sz w:val="20"/>
                <w:szCs w:val="20"/>
              </w:rPr>
              <mc:AlternateContent>
                <mc:Choice Requires="wps">
                  <w:drawing>
                    <wp:anchor distT="0" distB="0" distL="114300" distR="114300" simplePos="0" relativeHeight="251691007" behindDoc="0" locked="0" layoutInCell="1" allowOverlap="1" wp14:anchorId="102FCBB7" wp14:editId="5626ECED">
                      <wp:simplePos x="0" y="0"/>
                      <wp:positionH relativeFrom="column">
                        <wp:posOffset>2713354</wp:posOffset>
                      </wp:positionH>
                      <wp:positionV relativeFrom="paragraph">
                        <wp:posOffset>167639</wp:posOffset>
                      </wp:positionV>
                      <wp:extent cx="352425" cy="206375"/>
                      <wp:effectExtent l="38100" t="57150" r="28575" b="22225"/>
                      <wp:wrapNone/>
                      <wp:docPr id="3" name="Straight Connector 3"/>
                      <wp:cNvGraphicFramePr/>
                      <a:graphic xmlns:a="http://schemas.openxmlformats.org/drawingml/2006/main">
                        <a:graphicData uri="http://schemas.microsoft.com/office/word/2010/wordprocessingShape">
                          <wps:wsp>
                            <wps:cNvCnPr/>
                            <wps:spPr>
                              <a:xfrm flipH="1" flipV="1">
                                <a:off x="0" y="0"/>
                                <a:ext cx="352425" cy="206375"/>
                              </a:xfrm>
                              <a:prstGeom prst="line">
                                <a:avLst/>
                              </a:prstGeom>
                              <a:ln w="19050">
                                <a:solidFill>
                                  <a:srgbClr val="1D9E9E"/>
                                </a:solidFill>
                                <a:headEnd type="none"/>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92C13" id="Straight Connector 3" o:spid="_x0000_s1026" style="position:absolute;flip:x y;z-index:25169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65pt,13.2pt" to="241.4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" strokecolor="#1d9e9e" strokeweight="1.5pt">
                      <v:stroke endarrow="block" endarrowwidth="wide" joinstyle="miter"/>
                    </v:line>
                  </w:pict>
                </mc:Fallback>
              </mc:AlternateContent>
            </w:r>
            <w:r>
              <w:rPr>
                <w:sz w:val="20"/>
                <w:szCs w:val="20"/>
              </w:rPr>
              <w:t>Costes de operación (consumo de energía)</w:t>
            </w:r>
          </w:p>
          <w:p w14:paraId="356A551B" w14:textId="0EE94CA9" w:rsidR="00605FDD" w:rsidRPr="00A57656" w:rsidRDefault="00605FDD" w:rsidP="00A57656">
            <w:pPr>
              <w:numPr>
                <w:ilvl w:val="0"/>
                <w:numId w:val="33"/>
              </w:numPr>
              <w:spacing w:before="80"/>
              <w:jc w:val="left"/>
              <w:rPr>
                <w:sz w:val="20"/>
                <w:szCs w:val="20"/>
              </w:rPr>
            </w:pPr>
            <w:r>
              <w:rPr>
                <w:sz w:val="20"/>
                <w:szCs w:val="20"/>
              </w:rPr>
              <w:t>Tasas, impuestos y otros costes</w:t>
            </w:r>
          </w:p>
          <w:p w14:paraId="4B4FBE68" w14:textId="2F614E1D" w:rsidR="00605FDD" w:rsidRPr="00A57656" w:rsidRDefault="00605FDD" w:rsidP="00A57656">
            <w:pPr>
              <w:numPr>
                <w:ilvl w:val="0"/>
                <w:numId w:val="33"/>
              </w:numPr>
              <w:spacing w:before="80"/>
              <w:jc w:val="left"/>
              <w:rPr>
                <w:sz w:val="20"/>
                <w:szCs w:val="20"/>
              </w:rPr>
            </w:pPr>
            <w:r>
              <w:rPr>
                <w:sz w:val="20"/>
                <w:szCs w:val="20"/>
              </w:rPr>
              <w:t>Externalidades (emisiones de CO</w:t>
            </w:r>
            <w:r>
              <w:rPr>
                <w:sz w:val="20"/>
                <w:szCs w:val="20"/>
                <w:vertAlign w:val="subscript"/>
              </w:rPr>
              <w:t>2-eq</w:t>
            </w:r>
            <w:r>
              <w:rPr>
                <w:sz w:val="20"/>
                <w:szCs w:val="20"/>
              </w:rPr>
              <w:t xml:space="preserve"> vinculadas al consumo de energía) si así se define en la licitación</w:t>
            </w:r>
          </w:p>
        </w:tc>
        <w:tc>
          <w:tcPr>
            <w:tcW w:w="4803" w:type="dxa"/>
            <w:shd w:val="clear" w:color="auto" w:fill="FFFFFF" w:themeFill="background1"/>
          </w:tcPr>
          <w:p w14:paraId="4D486E34" w14:textId="4742D265" w:rsidR="00605FDD" w:rsidRPr="00A57656" w:rsidRDefault="00605FDD" w:rsidP="00A57656">
            <w:pPr>
              <w:numPr>
                <w:ilvl w:val="0"/>
                <w:numId w:val="33"/>
              </w:numPr>
              <w:spacing w:before="80"/>
              <w:jc w:val="left"/>
              <w:rPr>
                <w:sz w:val="20"/>
                <w:szCs w:val="20"/>
              </w:rPr>
            </w:pPr>
            <w:r>
              <w:rPr>
                <w:sz w:val="20"/>
                <w:szCs w:val="20"/>
              </w:rPr>
              <w:t>Requisitos de servicio (por ejemplo, garantías)</w:t>
            </w:r>
          </w:p>
          <w:p w14:paraId="6EB8933C" w14:textId="77777777" w:rsidR="00605FDD" w:rsidRPr="00A57656" w:rsidRDefault="00605FDD" w:rsidP="00A57656">
            <w:pPr>
              <w:numPr>
                <w:ilvl w:val="0"/>
                <w:numId w:val="33"/>
              </w:numPr>
              <w:spacing w:before="80"/>
              <w:jc w:val="left"/>
              <w:rPr>
                <w:sz w:val="20"/>
                <w:szCs w:val="20"/>
              </w:rPr>
            </w:pPr>
            <w:r>
              <w:rPr>
                <w:sz w:val="20"/>
                <w:szCs w:val="20"/>
              </w:rPr>
              <w:t>Especificaciones técnicas de las instalaciones y productos (temperatura de color, mantenimiento y renderizado, deslumbramiento, etc.)</w:t>
            </w:r>
          </w:p>
          <w:p w14:paraId="39F5568A" w14:textId="77777777" w:rsidR="00605FDD" w:rsidRPr="00A57656" w:rsidRDefault="00605FDD" w:rsidP="00A57656">
            <w:pPr>
              <w:numPr>
                <w:ilvl w:val="0"/>
                <w:numId w:val="33"/>
              </w:numPr>
              <w:spacing w:before="80"/>
              <w:jc w:val="left"/>
              <w:rPr>
                <w:sz w:val="20"/>
                <w:szCs w:val="20"/>
              </w:rPr>
            </w:pPr>
            <w:r>
              <w:rPr>
                <w:sz w:val="20"/>
                <w:szCs w:val="20"/>
              </w:rPr>
              <w:t>Eficiencia energética mínima de la instalación y las luminarias (se evalúa una mayor eficiencia como parte de los costes operativos del CCV vinculados al consumo de energía)</w:t>
            </w:r>
          </w:p>
          <w:p w14:paraId="1405BBC9" w14:textId="3DC83E57" w:rsidR="00605FDD" w:rsidRPr="00A57656" w:rsidRDefault="00605FDD" w:rsidP="00A57656">
            <w:pPr>
              <w:numPr>
                <w:ilvl w:val="0"/>
                <w:numId w:val="33"/>
              </w:numPr>
              <w:spacing w:before="80"/>
              <w:jc w:val="left"/>
              <w:rPr>
                <w:sz w:val="20"/>
                <w:szCs w:val="20"/>
              </w:rPr>
            </w:pPr>
            <w:r>
              <w:rPr>
                <w:sz w:val="20"/>
                <w:szCs w:val="20"/>
              </w:rPr>
              <w:t>Otros criterios medioambientales (como la vida útil nominal mínima, los factores de potencia de la luminaria, etc.)</w:t>
            </w:r>
          </w:p>
          <w:p w14:paraId="3B01C4B8" w14:textId="77777777" w:rsidR="00605FDD" w:rsidRPr="00A57656" w:rsidRDefault="00605FDD" w:rsidP="002541FB">
            <w:pPr>
              <w:numPr>
                <w:ilvl w:val="0"/>
                <w:numId w:val="33"/>
              </w:numPr>
              <w:spacing w:before="80" w:after="120"/>
              <w:ind w:left="357" w:hanging="357"/>
              <w:jc w:val="left"/>
              <w:rPr>
                <w:sz w:val="20"/>
                <w:szCs w:val="20"/>
              </w:rPr>
            </w:pPr>
            <w:r>
              <w:rPr>
                <w:sz w:val="20"/>
                <w:szCs w:val="20"/>
              </w:rPr>
              <w:t>Embalaje y gestión de final de vida, etc.</w:t>
            </w:r>
          </w:p>
        </w:tc>
      </w:tr>
    </w:tbl>
    <w:p w14:paraId="440F62DD" w14:textId="7F3B8AE1" w:rsidR="00605FDD" w:rsidRPr="00865BCB" w:rsidRDefault="00605FDD" w:rsidP="00D1199C">
      <w:pPr>
        <w:rPr>
          <w:color w:val="7F7F7F" w:themeColor="text1" w:themeTint="80"/>
          <w:sz w:val="18"/>
          <w:szCs w:val="18"/>
        </w:rPr>
      </w:pPr>
      <w:r w:rsidRPr="00865BCB">
        <w:rPr>
          <w:color w:val="7F7F7F" w:themeColor="text1" w:themeTint="80"/>
          <w:sz w:val="18"/>
          <w:szCs w:val="18"/>
        </w:rPr>
        <w:t xml:space="preserve">Nota: En virtud de la </w:t>
      </w:r>
      <w:hyperlink r:id="rId32" w:history="1">
        <w:r w:rsidRPr="00865BCB">
          <w:rPr>
            <w:rStyle w:val="Hipervnculo"/>
            <w:sz w:val="18"/>
            <w:szCs w:val="18"/>
          </w:rPr>
          <w:t>Directiva 2012/19/UE sobre residuos de aparatos eléctricos y electrónicos (RAEE)</w:t>
        </w:r>
      </w:hyperlink>
      <w:r w:rsidRPr="00865BCB">
        <w:rPr>
          <w:color w:val="7F7F7F" w:themeColor="text1" w:themeTint="80"/>
          <w:sz w:val="18"/>
          <w:szCs w:val="18"/>
        </w:rPr>
        <w:t>, los productores son responsables de financiar la recogida, el tratamiento, la recuperación y la eliminación respetuosa con el medio ambiente de los residuos eléctricos y electrónicos. Se supone que todos los productos incluyen, en su precio de compra, los costes de gestión de residuos y, por lo tanto, no se han incluido en la herramienta costes asociados al final de vida útil.</w:t>
      </w:r>
    </w:p>
    <w:p w14:paraId="4429D2AC" w14:textId="77777777" w:rsidR="00605FDD" w:rsidRPr="00492B4C" w:rsidRDefault="00605FDD" w:rsidP="00D1199C"/>
    <w:p w14:paraId="6D7609AA" w14:textId="77777777" w:rsidR="00DD206B" w:rsidRDefault="00DD206B" w:rsidP="00BE5FBE">
      <w:pPr>
        <w:pStyle w:val="Ttulo3"/>
        <w:sectPr w:rsidR="00DD206B" w:rsidSect="00CD5EB1">
          <w:type w:val="continuous"/>
          <w:pgSz w:w="11907" w:h="16840" w:code="9"/>
          <w:pgMar w:top="1418" w:right="1134" w:bottom="851" w:left="1134" w:header="567" w:footer="567" w:gutter="0"/>
          <w:cols w:space="720"/>
        </w:sectPr>
      </w:pPr>
    </w:p>
    <w:p w14:paraId="78C6E9BA" w14:textId="380965EC" w:rsidR="00D238A7" w:rsidRPr="00492B4C" w:rsidRDefault="00A57656" w:rsidP="00D238A7">
      <w:pPr>
        <w:pStyle w:val="Ttulo3"/>
      </w:pPr>
      <w:r>
        <w:br w:type="column"/>
      </w:r>
      <w:r>
        <w:br w:type="column"/>
      </w:r>
      <w:r>
        <w:lastRenderedPageBreak/>
        <w:t>Definirlo claramente en los documentos de licitación</w:t>
      </w:r>
    </w:p>
    <w:p w14:paraId="020179B0" w14:textId="77777777" w:rsidR="00D238A7" w:rsidRPr="00A664DF" w:rsidRDefault="00D238A7" w:rsidP="00D238A7">
      <w:pPr>
        <w:rPr>
          <w:sz w:val="20"/>
          <w:szCs w:val="20"/>
        </w:rPr>
      </w:pPr>
      <w:r w:rsidRPr="00A664DF">
        <w:rPr>
          <w:sz w:val="20"/>
          <w:szCs w:val="20"/>
        </w:rPr>
        <w:t>Es preciso ser transparente sobre cómo se evaluará la oferta, especialmente sobre cómo se evaluará la oferta económica y luego se comparará con otros criterios de adjudicación. Conviene informar a los participantes en los documentos de licitación que la oferta económica se evaluará utilizando una metodología de costes del ciclo de vida e incluir la herramienta CCV para resultar transparente y simplificar las explicaciones. La herramienta debe incluir los parámetros definidos por la autoridad contratante para los cálculos de CCV (</w:t>
      </w:r>
      <w:r w:rsidRPr="00A664DF">
        <w:rPr>
          <w:color w:val="FFFFFF" w:themeColor="background1"/>
          <w:sz w:val="20"/>
          <w:szCs w:val="20"/>
          <w:shd w:val="clear" w:color="auto" w:fill="92D050"/>
        </w:rPr>
        <w:t>sección A</w:t>
      </w:r>
      <w:r w:rsidRPr="00A664DF">
        <w:rPr>
          <w:sz w:val="20"/>
          <w:szCs w:val="20"/>
        </w:rPr>
        <w:t>).</w:t>
      </w:r>
    </w:p>
    <w:p w14:paraId="0DA604D2" w14:textId="18EF682C" w:rsidR="00D238A7" w:rsidRPr="00A664DF" w:rsidRDefault="00D238A7" w:rsidP="00D238A7">
      <w:pPr>
        <w:rPr>
          <w:sz w:val="20"/>
          <w:szCs w:val="20"/>
        </w:rPr>
      </w:pPr>
      <w:r w:rsidRPr="00A664DF">
        <w:rPr>
          <w:sz w:val="20"/>
          <w:szCs w:val="20"/>
        </w:rPr>
        <w:t>Para cada parámetro, hay que definir en los documentos de licitación exactamente qué se incluye y, si corresponde, qué estándar deben cumplir para obtener ofertas comparables.</w:t>
      </w:r>
    </w:p>
    <w:p w14:paraId="3BB57403" w14:textId="78319262" w:rsidR="00E2469A" w:rsidRPr="00A664DF" w:rsidRDefault="00E2469A" w:rsidP="00E2469A">
      <w:pPr>
        <w:rPr>
          <w:sz w:val="20"/>
          <w:szCs w:val="20"/>
        </w:rPr>
      </w:pPr>
      <w:r w:rsidRPr="00A664DF">
        <w:rPr>
          <w:sz w:val="20"/>
          <w:szCs w:val="20"/>
        </w:rPr>
        <w:t xml:space="preserve">Para facilitar la entrada de datos en la herramienta, conviene solicitar a los licitadores que presenten la información adecuada a través de la </w:t>
      </w:r>
      <w:r w:rsidR="003D2E98">
        <w:t>pestaña «</w:t>
      </w:r>
      <w:proofErr w:type="spellStart"/>
      <w:r w:rsidR="003D2E98">
        <w:t>Datos</w:t>
      </w:r>
      <w:r w:rsidR="00F836C5">
        <w:t>_L</w:t>
      </w:r>
      <w:r w:rsidR="003D2E98">
        <w:t>icitador</w:t>
      </w:r>
      <w:proofErr w:type="spellEnd"/>
      <w:r w:rsidRPr="00A664DF">
        <w:rPr>
          <w:sz w:val="20"/>
          <w:szCs w:val="20"/>
        </w:rPr>
        <w:t>» de la herramienta, y asegurarse de que, para cada área o habitación, haya una columna para que los licitadores inserten sus datos.</w:t>
      </w:r>
    </w:p>
    <w:p w14:paraId="4681E924" w14:textId="44343731" w:rsidR="00BA7457" w:rsidRPr="00A664DF" w:rsidRDefault="00E2469A" w:rsidP="00BA7457">
      <w:pPr>
        <w:rPr>
          <w:sz w:val="20"/>
          <w:szCs w:val="20"/>
        </w:rPr>
      </w:pPr>
      <w:r w:rsidRPr="00A664DF">
        <w:rPr>
          <w:sz w:val="20"/>
          <w:szCs w:val="20"/>
        </w:rPr>
        <w:t>Los licitadores deben proporcionar todos los datos necesarios para calcular el CCV y optar a la adjudicación del contrato. Hacer que l</w:t>
      </w:r>
      <w:r w:rsidR="003D2E98">
        <w:rPr>
          <w:sz w:val="20"/>
          <w:szCs w:val="20"/>
        </w:rPr>
        <w:t>as empresa</w:t>
      </w:r>
      <w:r w:rsidRPr="00A664DF">
        <w:rPr>
          <w:sz w:val="20"/>
          <w:szCs w:val="20"/>
        </w:rPr>
        <w:t>s proveedor</w:t>
      </w:r>
      <w:r w:rsidR="003D2E98">
        <w:rPr>
          <w:sz w:val="20"/>
          <w:szCs w:val="20"/>
        </w:rPr>
        <w:t>a</w:t>
      </w:r>
      <w:r w:rsidRPr="00A664DF">
        <w:rPr>
          <w:sz w:val="20"/>
          <w:szCs w:val="20"/>
        </w:rPr>
        <w:t>s sean conscientes de esto como parte de la participación preliminar en el mercado y en los documentos de licitación es importante para que la licitación tenga éxito.</w:t>
      </w:r>
    </w:p>
    <w:p w14:paraId="404C2618" w14:textId="77777777" w:rsidR="00E2469A" w:rsidRDefault="00E2469A" w:rsidP="00BA7457"/>
    <w:tbl>
      <w:tblPr>
        <w:tblW w:w="0" w:type="auto"/>
        <w:tblLook w:val="00A0" w:firstRow="1" w:lastRow="0" w:firstColumn="1" w:lastColumn="0" w:noHBand="0" w:noVBand="0"/>
      </w:tblPr>
      <w:tblGrid>
        <w:gridCol w:w="4449"/>
      </w:tblGrid>
      <w:tr w:rsidR="00BA7457" w:rsidRPr="00492B4C" w14:paraId="52A57AC9" w14:textId="77777777" w:rsidTr="00E2469A">
        <w:tc>
          <w:tcPr>
            <w:tcW w:w="4449" w:type="dxa"/>
            <w:shd w:val="clear" w:color="auto" w:fill="C8EBEB"/>
          </w:tcPr>
          <w:p w14:paraId="0CA3883E" w14:textId="77777777" w:rsidR="00BA7457" w:rsidRPr="00E2469A" w:rsidRDefault="00BA7457" w:rsidP="00E2469A">
            <w:pPr>
              <w:spacing w:before="240"/>
              <w:jc w:val="left"/>
              <w:rPr>
                <w:b/>
                <w:sz w:val="20"/>
                <w:szCs w:val="20"/>
              </w:rPr>
            </w:pPr>
            <w:r>
              <w:rPr>
                <w:b/>
                <w:sz w:val="20"/>
                <w:szCs w:val="20"/>
              </w:rPr>
              <w:t xml:space="preserve">Coste total de propiedad en la adquisición de fuentes de luz por parte de </w:t>
            </w:r>
            <w:proofErr w:type="spellStart"/>
            <w:r>
              <w:rPr>
                <w:b/>
                <w:sz w:val="20"/>
                <w:szCs w:val="20"/>
              </w:rPr>
              <w:t>Syddjurs</w:t>
            </w:r>
            <w:proofErr w:type="spellEnd"/>
            <w:r>
              <w:rPr>
                <w:b/>
                <w:sz w:val="20"/>
                <w:szCs w:val="20"/>
              </w:rPr>
              <w:t xml:space="preserve"> (Dinamarca)</w:t>
            </w:r>
          </w:p>
          <w:p w14:paraId="3E2F471A" w14:textId="1BA127D5" w:rsidR="007E58AB" w:rsidRDefault="007E58AB" w:rsidP="00BA7457">
            <w:pPr>
              <w:jc w:val="left"/>
              <w:rPr>
                <w:sz w:val="20"/>
                <w:szCs w:val="20"/>
              </w:rPr>
            </w:pPr>
            <w:r>
              <w:rPr>
                <w:sz w:val="20"/>
                <w:szCs w:val="20"/>
              </w:rPr>
              <w:t xml:space="preserve">En 2015, el municipio de </w:t>
            </w:r>
            <w:proofErr w:type="spellStart"/>
            <w:r>
              <w:rPr>
                <w:sz w:val="20"/>
                <w:szCs w:val="20"/>
              </w:rPr>
              <w:t>Syddjurs</w:t>
            </w:r>
            <w:proofErr w:type="spellEnd"/>
            <w:r>
              <w:rPr>
                <w:sz w:val="20"/>
                <w:szCs w:val="20"/>
              </w:rPr>
              <w:t xml:space="preserve"> actuó como el principal comprador de artículos eléctricos y luminosos en nombre de una comunidad regional de compras (JYFI).</w:t>
            </w:r>
            <w:r w:rsidR="00A664DF">
              <w:rPr>
                <w:sz w:val="20"/>
                <w:szCs w:val="20"/>
              </w:rPr>
              <w:t xml:space="preserve"> </w:t>
            </w:r>
          </w:p>
          <w:p w14:paraId="2CB82B06" w14:textId="15DC646A" w:rsidR="00E35B0D" w:rsidRDefault="00E35B0D" w:rsidP="00BA7457">
            <w:pPr>
              <w:jc w:val="left"/>
              <w:rPr>
                <w:sz w:val="20"/>
                <w:szCs w:val="20"/>
              </w:rPr>
            </w:pPr>
            <w:r>
              <w:rPr>
                <w:sz w:val="20"/>
                <w:szCs w:val="20"/>
              </w:rPr>
              <w:t>La adquisición se estructuró como un procedimiento selectivo completo, para permitir que JYFI tuviera acceso a toda la gama de productos de l</w:t>
            </w:r>
            <w:r w:rsidR="003D2E98">
              <w:rPr>
                <w:sz w:val="20"/>
                <w:szCs w:val="20"/>
              </w:rPr>
              <w:t>a</w:t>
            </w:r>
            <w:r>
              <w:rPr>
                <w:sz w:val="20"/>
                <w:szCs w:val="20"/>
              </w:rPr>
              <w:t xml:space="preserve">s </w:t>
            </w:r>
            <w:r w:rsidR="003D2E98">
              <w:rPr>
                <w:sz w:val="20"/>
                <w:szCs w:val="20"/>
              </w:rPr>
              <w:t xml:space="preserve">empresas </w:t>
            </w:r>
            <w:r>
              <w:rPr>
                <w:sz w:val="20"/>
                <w:szCs w:val="20"/>
              </w:rPr>
              <w:t>proveedor</w:t>
            </w:r>
            <w:r w:rsidR="003D2E98">
              <w:rPr>
                <w:sz w:val="20"/>
                <w:szCs w:val="20"/>
              </w:rPr>
              <w:t>a</w:t>
            </w:r>
            <w:r>
              <w:rPr>
                <w:sz w:val="20"/>
                <w:szCs w:val="20"/>
              </w:rPr>
              <w:t>s dentro de las categorías de productos ofrecidos, con un precio de descuento fijo.</w:t>
            </w:r>
          </w:p>
          <w:p w14:paraId="6DAB6C78" w14:textId="2287FEC5" w:rsidR="006D5C0E" w:rsidRDefault="006D5C0E" w:rsidP="00BA7457">
            <w:pPr>
              <w:jc w:val="left"/>
              <w:rPr>
                <w:sz w:val="20"/>
                <w:szCs w:val="20"/>
              </w:rPr>
            </w:pPr>
            <w:r>
              <w:rPr>
                <w:sz w:val="20"/>
                <w:szCs w:val="20"/>
              </w:rPr>
              <w:t>Para la parte de iluminación, las ofertas se evaluaron de acuerdo con los costes totales de propiedad (TCO) estimados de una muestra representativa de productos.</w:t>
            </w:r>
          </w:p>
          <w:p w14:paraId="38E68AA7" w14:textId="6AFF7F2F" w:rsidR="00E80DCB" w:rsidRPr="006D5C0E" w:rsidRDefault="00E80DCB" w:rsidP="00BA7457">
            <w:pPr>
              <w:jc w:val="left"/>
              <w:rPr>
                <w:sz w:val="20"/>
                <w:szCs w:val="20"/>
              </w:rPr>
            </w:pPr>
            <w:r>
              <w:rPr>
                <w:sz w:val="20"/>
                <w:szCs w:val="20"/>
              </w:rPr>
              <w:t xml:space="preserve">Las cifras de TCO están disponibles para los productos incluidos en las listas de productos de los contratistas. Esto revela la gran variación en los costes durante el ciclo de vida </w:t>
            </w:r>
            <w:r>
              <w:rPr>
                <w:sz w:val="20"/>
                <w:szCs w:val="20"/>
              </w:rPr>
              <w:t xml:space="preserve">de las diferentes tecnologías, lo que permite a los compradores seleccionar con confianza a pesar de unos costes iniciales más altos. </w:t>
            </w:r>
          </w:p>
          <w:p w14:paraId="3FA25BB8" w14:textId="26156E08" w:rsidR="00183929" w:rsidRPr="00E2469A" w:rsidRDefault="00183929" w:rsidP="00F87D14">
            <w:pPr>
              <w:spacing w:after="120"/>
              <w:jc w:val="left"/>
              <w:rPr>
                <w:sz w:val="20"/>
                <w:szCs w:val="20"/>
              </w:rPr>
            </w:pPr>
            <w:r>
              <w:rPr>
                <w:sz w:val="20"/>
                <w:szCs w:val="20"/>
              </w:rPr>
              <w:t>Más información</w:t>
            </w:r>
            <w:r>
              <w:t xml:space="preserve"> </w:t>
            </w:r>
            <w:hyperlink r:id="rId33" w:history="1">
              <w:r>
                <w:rPr>
                  <w:rStyle w:val="Hipervnculo"/>
                  <w:sz w:val="20"/>
                  <w:szCs w:val="20"/>
                </w:rPr>
                <w:t>aquí</w:t>
              </w:r>
            </w:hyperlink>
            <w:r>
              <w:rPr>
                <w:sz w:val="20"/>
                <w:szCs w:val="20"/>
              </w:rPr>
              <w:t>.</w:t>
            </w:r>
          </w:p>
        </w:tc>
      </w:tr>
    </w:tbl>
    <w:p w14:paraId="077EED0F" w14:textId="77777777" w:rsidR="00865BCB" w:rsidRPr="00865BCB" w:rsidRDefault="00865BCB" w:rsidP="00D1199C">
      <w:pPr>
        <w:pStyle w:val="Ttulo3"/>
        <w:rPr>
          <w:sz w:val="22"/>
          <w:szCs w:val="22"/>
        </w:rPr>
      </w:pPr>
    </w:p>
    <w:p w14:paraId="3B1542C6" w14:textId="7ABEDF06" w:rsidR="00D1199C" w:rsidRPr="00492B4C" w:rsidRDefault="00D1199C" w:rsidP="00D1199C">
      <w:pPr>
        <w:pStyle w:val="Ttulo3"/>
      </w:pPr>
      <w:r>
        <w:t xml:space="preserve">Establecer cláusulas contractuales </w:t>
      </w:r>
    </w:p>
    <w:p w14:paraId="11ADF3ED" w14:textId="59E5923B" w:rsidR="00945958" w:rsidRPr="00A664DF" w:rsidRDefault="00F87D14" w:rsidP="00945958">
      <w:pPr>
        <w:rPr>
          <w:sz w:val="20"/>
          <w:szCs w:val="20"/>
        </w:rPr>
      </w:pPr>
      <w:r w:rsidRPr="00A664DF">
        <w:rPr>
          <w:sz w:val="20"/>
          <w:szCs w:val="20"/>
        </w:rPr>
        <w:t>Incluya cláusulas contractuales específicas en los documentos de licitación para permitir la supervisión del cumplimiento de los resultados prometidos y para:</w:t>
      </w:r>
    </w:p>
    <w:p w14:paraId="0AE5FBC7" w14:textId="36168B2F" w:rsidR="00945958" w:rsidRPr="00A664DF" w:rsidRDefault="00945958" w:rsidP="00D9465A">
      <w:pPr>
        <w:pStyle w:val="Prrafodelista"/>
        <w:numPr>
          <w:ilvl w:val="0"/>
          <w:numId w:val="41"/>
        </w:numPr>
        <w:ind w:left="142" w:hanging="142"/>
        <w:contextualSpacing w:val="0"/>
        <w:rPr>
          <w:sz w:val="20"/>
          <w:szCs w:val="20"/>
        </w:rPr>
      </w:pPr>
      <w:r w:rsidRPr="00A664DF">
        <w:rPr>
          <w:sz w:val="20"/>
          <w:szCs w:val="20"/>
        </w:rPr>
        <w:t>Aplicar sanciones por incumplimiento de la información proporcionada para declarar a los contratistas responsables del desempeño de su oferta; o, si se considera adecuado,</w:t>
      </w:r>
    </w:p>
    <w:p w14:paraId="06EBA403" w14:textId="331FA301" w:rsidR="00D9465A" w:rsidRPr="00A664DF" w:rsidRDefault="00945958" w:rsidP="00D9465A">
      <w:pPr>
        <w:pStyle w:val="Prrafodelista"/>
        <w:numPr>
          <w:ilvl w:val="0"/>
          <w:numId w:val="41"/>
        </w:numPr>
        <w:spacing w:after="120"/>
        <w:ind w:left="142" w:hanging="142"/>
        <w:contextualSpacing w:val="0"/>
        <w:rPr>
          <w:sz w:val="20"/>
          <w:szCs w:val="20"/>
        </w:rPr>
      </w:pPr>
      <w:r w:rsidRPr="00A664DF">
        <w:rPr>
          <w:sz w:val="20"/>
          <w:szCs w:val="20"/>
        </w:rPr>
        <w:t>Ofrecer bonificaciones financieras en caso de que los resultados supervisados superen las estimaciones declaradas en la oferta.</w:t>
      </w:r>
    </w:p>
    <w:tbl>
      <w:tblPr>
        <w:tblW w:w="453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536"/>
      </w:tblGrid>
      <w:tr w:rsidR="00BF29B4" w:rsidRPr="00492B4C" w14:paraId="5B16E3BC" w14:textId="77777777" w:rsidTr="00D9465A">
        <w:trPr>
          <w:trHeight w:val="77"/>
        </w:trPr>
        <w:tc>
          <w:tcPr>
            <w:tcW w:w="4536" w:type="dxa"/>
            <w:tcBorders>
              <w:top w:val="nil"/>
              <w:left w:val="nil"/>
              <w:bottom w:val="nil"/>
              <w:right w:val="nil"/>
            </w:tcBorders>
            <w:shd w:val="clear" w:color="auto" w:fill="C8EBEB"/>
          </w:tcPr>
          <w:p w14:paraId="168CF5C4" w14:textId="00776CCD" w:rsidR="00BF29B4" w:rsidRPr="00E2469A" w:rsidRDefault="00BF29B4" w:rsidP="00D9465A">
            <w:pPr>
              <w:jc w:val="left"/>
              <w:rPr>
                <w:b/>
                <w:sz w:val="20"/>
                <w:szCs w:val="20"/>
              </w:rPr>
            </w:pPr>
            <w:r>
              <w:rPr>
                <w:b/>
                <w:sz w:val="20"/>
                <w:szCs w:val="20"/>
              </w:rPr>
              <w:t>Cómo considerar los criterios de calidad y durabilidad</w:t>
            </w:r>
          </w:p>
          <w:p w14:paraId="38BD0F42" w14:textId="4032EDAE" w:rsidR="00BF29B4" w:rsidRPr="00E2469A" w:rsidRDefault="00BF29B4" w:rsidP="00BF29B4">
            <w:pPr>
              <w:jc w:val="left"/>
              <w:rPr>
                <w:sz w:val="20"/>
                <w:szCs w:val="20"/>
              </w:rPr>
            </w:pPr>
            <w:r>
              <w:rPr>
                <w:sz w:val="20"/>
                <w:szCs w:val="20"/>
              </w:rPr>
              <w:t>La calidad y la durabilidad de las instalaciones de iluminación interior son fundamentales en su CCV general, ya que influyen en gran medida en los costes de mantenimiento.</w:t>
            </w:r>
          </w:p>
          <w:p w14:paraId="47FF3383" w14:textId="1E2ABAB7" w:rsidR="00BF29B4" w:rsidRPr="00E2469A" w:rsidRDefault="00BF29B4" w:rsidP="00BF29B4">
            <w:pPr>
              <w:jc w:val="left"/>
              <w:rPr>
                <w:sz w:val="20"/>
                <w:szCs w:val="20"/>
              </w:rPr>
            </w:pPr>
            <w:r>
              <w:rPr>
                <w:sz w:val="20"/>
                <w:szCs w:val="20"/>
              </w:rPr>
              <w:t xml:space="preserve">Para algunos elementos, existen normas internacionales específicas (por ejemplo, el estándar IEC/EN 62031 para </w:t>
            </w:r>
            <w:proofErr w:type="spellStart"/>
            <w:r>
              <w:rPr>
                <w:sz w:val="20"/>
                <w:szCs w:val="20"/>
              </w:rPr>
              <w:t>LEDs</w:t>
            </w:r>
            <w:proofErr w:type="spellEnd"/>
            <w:r>
              <w:rPr>
                <w:sz w:val="20"/>
                <w:szCs w:val="20"/>
              </w:rPr>
              <w:t xml:space="preserve"> de iluminación general y el IEC/EN 62471 sobre las pruebas de desempeño). Para otros, no existen referencias normativas y, por tanto, habrá que aceptar otros procedimientos de prueba relevantes de la industria.</w:t>
            </w:r>
          </w:p>
          <w:p w14:paraId="570AF99D" w14:textId="356E461C" w:rsidR="00BF29B4" w:rsidRPr="005E159B" w:rsidRDefault="00BF29B4" w:rsidP="00D9465A">
            <w:pPr>
              <w:spacing w:after="120"/>
              <w:jc w:val="left"/>
              <w:rPr>
                <w:sz w:val="2"/>
                <w:szCs w:val="2"/>
              </w:rPr>
            </w:pPr>
            <w:r>
              <w:rPr>
                <w:sz w:val="20"/>
                <w:szCs w:val="20"/>
              </w:rPr>
              <w:t>Para mitigar los riesgos, incluya especificaciones y cláusulas contractuales con respecto a los plazos mínimos de garantía.</w:t>
            </w:r>
            <w:r>
              <w:rPr>
                <w:sz w:val="10"/>
                <w:szCs w:val="10"/>
              </w:rPr>
              <w:t xml:space="preserve"> </w:t>
            </w:r>
          </w:p>
        </w:tc>
      </w:tr>
    </w:tbl>
    <w:p w14:paraId="05ADF2B8" w14:textId="77777777" w:rsidR="00BF29B4" w:rsidRPr="00492B4C" w:rsidRDefault="00BF29B4" w:rsidP="00D1199C"/>
    <w:p w14:paraId="04A2EE5E" w14:textId="77777777" w:rsidR="00BD594D" w:rsidRPr="00492B4C" w:rsidRDefault="00BD594D" w:rsidP="00BD594D">
      <w:pPr>
        <w:pStyle w:val="Ttulo3"/>
      </w:pPr>
      <w:r>
        <w:t xml:space="preserve">Evaluar ofertas </w:t>
      </w:r>
    </w:p>
    <w:p w14:paraId="19B02DDF" w14:textId="77777777" w:rsidR="00BF29B4" w:rsidRPr="00A664DF" w:rsidRDefault="00BF29B4" w:rsidP="00BF29B4">
      <w:pPr>
        <w:rPr>
          <w:sz w:val="20"/>
          <w:szCs w:val="20"/>
        </w:rPr>
      </w:pPr>
      <w:r w:rsidRPr="00A664DF">
        <w:rPr>
          <w:sz w:val="20"/>
          <w:szCs w:val="20"/>
        </w:rPr>
        <w:t xml:space="preserve">Con la información proporcionada en las ofertas, se pueden evaluar las ofertas económicas en función de los costes del ciclo de vida calculados con la herramienta CCV. </w:t>
      </w:r>
    </w:p>
    <w:p w14:paraId="16DC9370" w14:textId="56180C92" w:rsidR="00BF29B4" w:rsidRPr="00A664DF" w:rsidRDefault="00BF29B4" w:rsidP="00BF29B4">
      <w:pPr>
        <w:rPr>
          <w:sz w:val="20"/>
          <w:szCs w:val="20"/>
        </w:rPr>
      </w:pPr>
      <w:r w:rsidRPr="00A664DF">
        <w:rPr>
          <w:sz w:val="20"/>
          <w:szCs w:val="20"/>
        </w:rPr>
        <w:t xml:space="preserve">Cada licitador completará la herramienta de cálculo de CCV con su información en </w:t>
      </w:r>
      <w:r w:rsidR="00610A28">
        <w:t>la pestaña «</w:t>
      </w:r>
      <w:proofErr w:type="spellStart"/>
      <w:r w:rsidR="00610A28">
        <w:t>Dato</w:t>
      </w:r>
      <w:r w:rsidR="00F836C5">
        <w:t>s_L</w:t>
      </w:r>
      <w:r w:rsidR="00610A28">
        <w:t>icitador</w:t>
      </w:r>
      <w:proofErr w:type="spellEnd"/>
      <w:r w:rsidR="00610A28">
        <w:t>»</w:t>
      </w:r>
      <w:r w:rsidRPr="00A664DF">
        <w:rPr>
          <w:sz w:val="20"/>
          <w:szCs w:val="20"/>
        </w:rPr>
        <w:t xml:space="preserve"> y el CCV total (es decir, teniendo en cuenta todos los tipos de estancias y sistemas de iluminación incluidos en la oferta) se calculará automáticamente.</w:t>
      </w:r>
    </w:p>
    <w:p w14:paraId="2710F7D8" w14:textId="4E1F1F6E" w:rsidR="00BF29B4" w:rsidRPr="00A664DF" w:rsidRDefault="00BF29B4" w:rsidP="00BF29B4">
      <w:pPr>
        <w:rPr>
          <w:sz w:val="20"/>
          <w:szCs w:val="20"/>
        </w:rPr>
      </w:pPr>
      <w:r w:rsidRPr="00A664DF">
        <w:rPr>
          <w:sz w:val="20"/>
          <w:szCs w:val="20"/>
        </w:rPr>
        <w:t>La herramienta permite ver los resultados gráficamente (en la hoja «</w:t>
      </w:r>
      <w:proofErr w:type="spellStart"/>
      <w:r w:rsidRPr="00A664DF">
        <w:rPr>
          <w:sz w:val="20"/>
          <w:szCs w:val="20"/>
        </w:rPr>
        <w:t>Resultado</w:t>
      </w:r>
      <w:r w:rsidR="00F836C5">
        <w:rPr>
          <w:sz w:val="20"/>
          <w:szCs w:val="20"/>
        </w:rPr>
        <w:t>s_G</w:t>
      </w:r>
      <w:r w:rsidRPr="00A664DF">
        <w:rPr>
          <w:sz w:val="20"/>
          <w:szCs w:val="20"/>
        </w:rPr>
        <w:t>ráficos</w:t>
      </w:r>
      <w:proofErr w:type="spellEnd"/>
      <w:r w:rsidRPr="00A664DF">
        <w:rPr>
          <w:sz w:val="20"/>
          <w:szCs w:val="20"/>
        </w:rPr>
        <w:t>»), y también se puede usar esa pestaña para comparar los resultados de hasta 10 ofertas diferentes.</w:t>
      </w:r>
    </w:p>
    <w:p w14:paraId="2E0F9AE1" w14:textId="0218967C" w:rsidR="00406E28" w:rsidRPr="00A664DF" w:rsidRDefault="00406E28" w:rsidP="00A8265A">
      <w:pPr>
        <w:rPr>
          <w:sz w:val="20"/>
          <w:szCs w:val="20"/>
        </w:rPr>
      </w:pPr>
      <w:r w:rsidRPr="00A664DF">
        <w:rPr>
          <w:sz w:val="20"/>
          <w:szCs w:val="20"/>
        </w:rPr>
        <w:lastRenderedPageBreak/>
        <w:t xml:space="preserve">Tras obtener los resultados del CCV para cada oferta, se deberá calcular la puntuación del coste para cada oferta en función de la ponderación del criterio de adjudicación de costes y la fórmula indicada en los documentos de licitación. </w:t>
      </w:r>
    </w:p>
    <w:p w14:paraId="11568AA3" w14:textId="17A19CF8" w:rsidR="00A8265A" w:rsidRPr="00A664DF" w:rsidRDefault="00A8265A" w:rsidP="00A8265A">
      <w:pPr>
        <w:rPr>
          <w:sz w:val="20"/>
          <w:szCs w:val="20"/>
        </w:rPr>
      </w:pPr>
      <w:r w:rsidRPr="00A664DF">
        <w:rPr>
          <w:sz w:val="20"/>
          <w:szCs w:val="20"/>
        </w:rPr>
        <w:t>Al combinar esto con los otros criterios de adjudicación establecidos en los documentos de licitación, se podrá seleccionar la oferta económicamente más ventajosa.</w:t>
      </w:r>
    </w:p>
    <w:p w14:paraId="0BD61B0F" w14:textId="3DD0D44C" w:rsidR="00DD206B" w:rsidRPr="00A664DF" w:rsidRDefault="00DD206B" w:rsidP="00BD594D">
      <w:pPr>
        <w:rPr>
          <w:sz w:val="20"/>
          <w:szCs w:val="20"/>
        </w:rPr>
        <w:sectPr w:rsidR="00DD206B" w:rsidRPr="00A664DF" w:rsidSect="00DD206B">
          <w:type w:val="continuous"/>
          <w:pgSz w:w="11907" w:h="16840" w:code="9"/>
          <w:pgMar w:top="1418" w:right="1134" w:bottom="851" w:left="1134" w:header="567" w:footer="567" w:gutter="0"/>
          <w:cols w:num="2" w:space="720"/>
        </w:sectPr>
      </w:pPr>
    </w:p>
    <w:p w14:paraId="4F250889" w14:textId="49A2258E" w:rsidR="00DD206B" w:rsidRPr="00A664DF" w:rsidRDefault="00DD206B">
      <w:pPr>
        <w:overflowPunct/>
        <w:autoSpaceDE/>
        <w:autoSpaceDN/>
        <w:adjustRightInd/>
        <w:spacing w:before="0"/>
        <w:jc w:val="left"/>
        <w:textAlignment w:val="auto"/>
        <w:rPr>
          <w:color w:val="1D9E9E"/>
          <w:sz w:val="20"/>
          <w:szCs w:val="20"/>
        </w:rPr>
      </w:pPr>
    </w:p>
    <w:p w14:paraId="57956F2B" w14:textId="77777777" w:rsidR="00A664DF" w:rsidRDefault="00A664DF" w:rsidP="00D1199C">
      <w:pPr>
        <w:pStyle w:val="Ttulo3"/>
      </w:pPr>
      <w:r>
        <w:br/>
      </w:r>
    </w:p>
    <w:p w14:paraId="3872908E" w14:textId="77777777" w:rsidR="00A664DF" w:rsidRDefault="00A664DF">
      <w:pPr>
        <w:overflowPunct/>
        <w:autoSpaceDE/>
        <w:autoSpaceDN/>
        <w:adjustRightInd/>
        <w:spacing w:before="0"/>
        <w:jc w:val="left"/>
        <w:textAlignment w:val="auto"/>
        <w:rPr>
          <w:color w:val="1D9E9E"/>
          <w:sz w:val="28"/>
        </w:rPr>
      </w:pPr>
      <w:r>
        <w:br w:type="page"/>
      </w:r>
    </w:p>
    <w:p w14:paraId="6B7E6A18" w14:textId="1AD6AB33" w:rsidR="00D1199C" w:rsidRPr="00492B4C" w:rsidRDefault="00D1199C" w:rsidP="00D1199C">
      <w:pPr>
        <w:pStyle w:val="Ttulo3"/>
      </w:pPr>
      <w:r>
        <w:lastRenderedPageBreak/>
        <w:t>Pasos para completar y usar la herramienta CCV</w:t>
      </w:r>
    </w:p>
    <w:p w14:paraId="2662E402" w14:textId="77777777" w:rsidR="00B215FB" w:rsidRPr="00492B4C" w:rsidRDefault="00B215FB" w:rsidP="00B215FB"/>
    <w:tbl>
      <w:tblPr>
        <w:tblW w:w="0" w:type="auto"/>
        <w:tblLook w:val="00A0" w:firstRow="1" w:lastRow="0" w:firstColumn="1" w:lastColumn="0" w:noHBand="0" w:noVBand="0"/>
      </w:tblPr>
      <w:tblGrid>
        <w:gridCol w:w="738"/>
        <w:gridCol w:w="8901"/>
      </w:tblGrid>
      <w:tr w:rsidR="00B215FB" w:rsidRPr="00492B4C" w14:paraId="56D9196D" w14:textId="77777777" w:rsidTr="00453711">
        <w:tc>
          <w:tcPr>
            <w:tcW w:w="738" w:type="dxa"/>
            <w:shd w:val="clear" w:color="auto" w:fill="E7E6E6" w:themeFill="background2"/>
          </w:tcPr>
          <w:p w14:paraId="06A125F7" w14:textId="77777777" w:rsidR="00B215FB" w:rsidRPr="00492B4C" w:rsidRDefault="00B215FB" w:rsidP="008F6F23">
            <w:pPr>
              <w:spacing w:before="0"/>
              <w:jc w:val="center"/>
              <w:rPr>
                <w:sz w:val="80"/>
              </w:rPr>
            </w:pPr>
            <w:r>
              <w:rPr>
                <w:sz w:val="80"/>
              </w:rPr>
              <w:t>1</w:t>
            </w:r>
          </w:p>
        </w:tc>
        <w:tc>
          <w:tcPr>
            <w:tcW w:w="8901" w:type="dxa"/>
            <w:shd w:val="clear" w:color="auto" w:fill="E7E6E6" w:themeFill="background2"/>
          </w:tcPr>
          <w:p w14:paraId="6F3A1B3E" w14:textId="216C75BC" w:rsidR="00B215FB" w:rsidRPr="00492B4C" w:rsidRDefault="00B215FB" w:rsidP="008F6F23">
            <w:pPr>
              <w:rPr>
                <w:b/>
              </w:rPr>
            </w:pPr>
            <w:r>
              <w:rPr>
                <w:b/>
              </w:rPr>
              <w:t>Decidir las categorías de costes que se incluirán en el CCV y la estructura de las ofertas</w:t>
            </w:r>
          </w:p>
          <w:p w14:paraId="71DFD199" w14:textId="77777777" w:rsidR="009A2585" w:rsidRPr="00071D06" w:rsidRDefault="00F358D0" w:rsidP="0081037B">
            <w:pPr>
              <w:spacing w:after="120"/>
              <w:rPr>
                <w:sz w:val="21"/>
                <w:szCs w:val="21"/>
              </w:rPr>
            </w:pPr>
            <w:r w:rsidRPr="00071D06">
              <w:rPr>
                <w:sz w:val="21"/>
                <w:szCs w:val="21"/>
              </w:rPr>
              <w:t xml:space="preserve">La herramienta ha sido diseñada para incluir diferentes opciones y categorías de costes. Si en algunas de ellas, concretamente la de «otros costes», no se dispone de los datos apropiados, se excluirán de los cálculos. También hay que decidir qué datos de energía se deben proporcionar para evaluar los costes de operación debidos al consumo de energía, qué costes de sustitución se utilizarán para evaluar los costes de mantenimiento y si se incluirán o no las externalidades medioambientales. </w:t>
            </w:r>
          </w:p>
          <w:p w14:paraId="1D22B07B" w14:textId="49101902" w:rsidR="00B215FB" w:rsidRPr="00492B4C" w:rsidRDefault="009A2585" w:rsidP="0081037B">
            <w:pPr>
              <w:spacing w:after="120"/>
            </w:pPr>
            <w:r w:rsidRPr="00071D06">
              <w:rPr>
                <w:sz w:val="21"/>
                <w:szCs w:val="21"/>
              </w:rPr>
              <w:t xml:space="preserve">Conforme a esas decisiones, se muestran u ocultan las categorías de costes relevantes tanto en </w:t>
            </w:r>
            <w:r w:rsidR="00610A28">
              <w:rPr>
                <w:sz w:val="21"/>
                <w:szCs w:val="21"/>
              </w:rPr>
              <w:t xml:space="preserve">la </w:t>
            </w:r>
            <w:r w:rsidR="00610A28">
              <w:t>pestaña</w:t>
            </w:r>
            <w:r w:rsidR="00610A28" w:rsidRPr="00C226A6">
              <w:rPr>
                <w:sz w:val="20"/>
                <w:szCs w:val="20"/>
              </w:rPr>
              <w:t xml:space="preserve"> «</w:t>
            </w:r>
            <w:proofErr w:type="spellStart"/>
            <w:r w:rsidR="00610A28" w:rsidRPr="00C226A6">
              <w:rPr>
                <w:sz w:val="20"/>
                <w:szCs w:val="20"/>
              </w:rPr>
              <w:t>Datos</w:t>
            </w:r>
            <w:r w:rsidR="00F836C5">
              <w:rPr>
                <w:sz w:val="20"/>
                <w:szCs w:val="20"/>
              </w:rPr>
              <w:t>_R</w:t>
            </w:r>
            <w:r w:rsidR="00610A28" w:rsidRPr="00C226A6">
              <w:rPr>
                <w:sz w:val="20"/>
                <w:szCs w:val="20"/>
              </w:rPr>
              <w:t>esultados</w:t>
            </w:r>
            <w:r w:rsidR="00F836C5">
              <w:rPr>
                <w:sz w:val="20"/>
                <w:szCs w:val="20"/>
              </w:rPr>
              <w:t>_</w:t>
            </w:r>
            <w:r w:rsidR="00610A28">
              <w:t>CCV</w:t>
            </w:r>
            <w:proofErr w:type="spellEnd"/>
            <w:r w:rsidR="00610A28" w:rsidRPr="00C226A6">
              <w:rPr>
                <w:sz w:val="20"/>
                <w:szCs w:val="20"/>
              </w:rPr>
              <w:t>» como en «</w:t>
            </w:r>
            <w:proofErr w:type="spellStart"/>
            <w:r w:rsidR="00610A28">
              <w:rPr>
                <w:sz w:val="20"/>
                <w:szCs w:val="20"/>
              </w:rPr>
              <w:t>D</w:t>
            </w:r>
            <w:r w:rsidR="00610A28">
              <w:t>atos</w:t>
            </w:r>
            <w:r w:rsidR="00F836C5">
              <w:t>_L</w:t>
            </w:r>
            <w:r w:rsidR="00610A28" w:rsidRPr="00C226A6">
              <w:rPr>
                <w:sz w:val="20"/>
                <w:szCs w:val="20"/>
              </w:rPr>
              <w:t>icitador</w:t>
            </w:r>
            <w:proofErr w:type="spellEnd"/>
            <w:r w:rsidRPr="00071D06">
              <w:rPr>
                <w:sz w:val="21"/>
                <w:szCs w:val="21"/>
              </w:rPr>
              <w:t>»; pero no se deben añadir o eliminar (filas, columnas u hojas), para asegurar el correcto funcionamiento de la herramienta.</w:t>
            </w:r>
          </w:p>
        </w:tc>
      </w:tr>
      <w:tr w:rsidR="00453711" w:rsidRPr="00492B4C" w14:paraId="09A51938" w14:textId="77777777" w:rsidTr="00453711">
        <w:tblPrEx>
          <w:tblLook w:val="04A0" w:firstRow="1" w:lastRow="0" w:firstColumn="1" w:lastColumn="0" w:noHBand="0" w:noVBand="1"/>
        </w:tblPrEx>
        <w:tc>
          <w:tcPr>
            <w:tcW w:w="738" w:type="dxa"/>
            <w:shd w:val="clear" w:color="auto" w:fill="auto"/>
          </w:tcPr>
          <w:p w14:paraId="56A1F470" w14:textId="30F35ED9" w:rsidR="00453711" w:rsidRPr="00453711" w:rsidRDefault="00453711" w:rsidP="00453711">
            <w:pPr>
              <w:spacing w:before="0"/>
            </w:pPr>
          </w:p>
        </w:tc>
        <w:tc>
          <w:tcPr>
            <w:tcW w:w="8901" w:type="dxa"/>
            <w:shd w:val="clear" w:color="auto" w:fill="auto"/>
          </w:tcPr>
          <w:p w14:paraId="20A8DFF9" w14:textId="1DC530F1" w:rsidR="00453711" w:rsidRPr="00492B4C" w:rsidRDefault="00453711" w:rsidP="00453711">
            <w:pPr>
              <w:spacing w:before="0"/>
            </w:pPr>
          </w:p>
        </w:tc>
      </w:tr>
      <w:tr w:rsidR="00B215FB" w:rsidRPr="00492B4C" w14:paraId="5D481AC1" w14:textId="77777777" w:rsidTr="00453711">
        <w:tblPrEx>
          <w:tblLook w:val="04A0" w:firstRow="1" w:lastRow="0" w:firstColumn="1" w:lastColumn="0" w:noHBand="0" w:noVBand="1"/>
        </w:tblPrEx>
        <w:tc>
          <w:tcPr>
            <w:tcW w:w="738" w:type="dxa"/>
            <w:shd w:val="clear" w:color="auto" w:fill="CCFFCC"/>
          </w:tcPr>
          <w:p w14:paraId="61B15405" w14:textId="77777777" w:rsidR="00B215FB" w:rsidRPr="00492B4C" w:rsidRDefault="00B215FB" w:rsidP="008F6F23">
            <w:pPr>
              <w:spacing w:before="0"/>
              <w:jc w:val="center"/>
              <w:rPr>
                <w:sz w:val="80"/>
              </w:rPr>
            </w:pPr>
            <w:r>
              <w:rPr>
                <w:sz w:val="80"/>
              </w:rPr>
              <w:t>2</w:t>
            </w:r>
          </w:p>
        </w:tc>
        <w:tc>
          <w:tcPr>
            <w:tcW w:w="8901" w:type="dxa"/>
            <w:shd w:val="clear" w:color="auto" w:fill="CCFFCC"/>
          </w:tcPr>
          <w:p w14:paraId="64C98525" w14:textId="73BDA654" w:rsidR="008676D7" w:rsidRPr="00492B4C" w:rsidRDefault="00913585" w:rsidP="008676D7">
            <w:pPr>
              <w:rPr>
                <w:b/>
              </w:rPr>
            </w:pPr>
            <w:r>
              <w:rPr>
                <w:b/>
              </w:rPr>
              <w:t>Completar la Sección A (recuadro verde) de la herramienta CCV con los parámetros pertinentes</w:t>
            </w:r>
          </w:p>
          <w:p w14:paraId="08EC83E6" w14:textId="6A03BADE" w:rsidR="00613BF0" w:rsidRPr="00071D06" w:rsidRDefault="008676D7" w:rsidP="00613BF0">
            <w:pPr>
              <w:rPr>
                <w:sz w:val="21"/>
                <w:szCs w:val="21"/>
              </w:rPr>
            </w:pPr>
            <w:r w:rsidRPr="00071D06">
              <w:rPr>
                <w:sz w:val="21"/>
                <w:szCs w:val="21"/>
              </w:rPr>
              <w:t>La herramienta utilizará los datos proporcionados por el licitador y los parámetros proporcionados por la autoridad contratante para calcular los costes del ciclo de vida. En función de las categorías de costes decididas, se completará la sección A de la hoja «</w:t>
            </w:r>
            <w:proofErr w:type="spellStart"/>
            <w:r w:rsidRPr="00071D06">
              <w:rPr>
                <w:sz w:val="21"/>
                <w:szCs w:val="21"/>
              </w:rPr>
              <w:t>Datos</w:t>
            </w:r>
            <w:r w:rsidR="00F836C5">
              <w:rPr>
                <w:sz w:val="21"/>
                <w:szCs w:val="21"/>
              </w:rPr>
              <w:t>_R</w:t>
            </w:r>
            <w:r w:rsidRPr="00071D06">
              <w:rPr>
                <w:sz w:val="21"/>
                <w:szCs w:val="21"/>
              </w:rPr>
              <w:t>esultados</w:t>
            </w:r>
            <w:r w:rsidR="00F836C5">
              <w:rPr>
                <w:sz w:val="21"/>
                <w:szCs w:val="21"/>
              </w:rPr>
              <w:t>_CCV</w:t>
            </w:r>
            <w:proofErr w:type="spellEnd"/>
            <w:r w:rsidRPr="00071D06">
              <w:rPr>
                <w:sz w:val="21"/>
                <w:szCs w:val="21"/>
              </w:rPr>
              <w:t xml:space="preserve">» de la herramienta con los parámetros oportunos (por ejemplo, periodo de evaluación, tasa de descuento, costes de electricidad, costes de sustitución, etc.). Esta será la base para los cálculos y debe incluirse en la herramienta proporcionada en los documentos de licitación, para garantizar la transparencia. </w:t>
            </w:r>
          </w:p>
          <w:p w14:paraId="126C3C0B" w14:textId="6BBA3A62" w:rsidR="00585CA9" w:rsidRPr="00492B4C" w:rsidRDefault="00613BF0" w:rsidP="008676D7">
            <w:pPr>
              <w:spacing w:after="120"/>
            </w:pPr>
            <w:r w:rsidRPr="00071D06">
              <w:rPr>
                <w:sz w:val="21"/>
                <w:szCs w:val="21"/>
              </w:rPr>
              <w:t xml:space="preserve">Es necesario asegurarse de proteger todas las hojas de la herramienta, excepto la </w:t>
            </w:r>
            <w:r w:rsidR="00610A28">
              <w:t>de</w:t>
            </w:r>
            <w:r w:rsidR="00610A28" w:rsidRPr="00C226A6">
              <w:rPr>
                <w:sz w:val="20"/>
                <w:szCs w:val="20"/>
              </w:rPr>
              <w:t xml:space="preserve"> «</w:t>
            </w:r>
            <w:r w:rsidR="00610A28">
              <w:rPr>
                <w:sz w:val="20"/>
                <w:szCs w:val="20"/>
              </w:rPr>
              <w:t>D</w:t>
            </w:r>
            <w:r w:rsidR="00610A28">
              <w:t xml:space="preserve">atos </w:t>
            </w:r>
            <w:r w:rsidR="00610A28" w:rsidRPr="00C226A6">
              <w:rPr>
                <w:sz w:val="20"/>
                <w:szCs w:val="20"/>
              </w:rPr>
              <w:t>del licitador»,</w:t>
            </w:r>
            <w:r w:rsidRPr="00071D06">
              <w:rPr>
                <w:sz w:val="21"/>
                <w:szCs w:val="21"/>
              </w:rPr>
              <w:t xml:space="preserve"> para que los licitadores no puedan manipularlas accidentalmente</w:t>
            </w:r>
            <w:r w:rsidR="00865BCB">
              <w:rPr>
                <w:sz w:val="21"/>
                <w:szCs w:val="21"/>
              </w:rPr>
              <w:t>,</w:t>
            </w:r>
            <w:r w:rsidRPr="00071D06">
              <w:rPr>
                <w:sz w:val="21"/>
                <w:szCs w:val="21"/>
              </w:rPr>
              <w:t xml:space="preserve"> pero puedan insertar sus datos en las celdas apropiadas y ver los resultados.</w:t>
            </w:r>
          </w:p>
        </w:tc>
      </w:tr>
      <w:tr w:rsidR="00453711" w:rsidRPr="00492B4C" w14:paraId="5B4EBAAC" w14:textId="77777777" w:rsidTr="00EE72A8">
        <w:tblPrEx>
          <w:tblLook w:val="04A0" w:firstRow="1" w:lastRow="0" w:firstColumn="1" w:lastColumn="0" w:noHBand="0" w:noVBand="1"/>
        </w:tblPrEx>
        <w:tc>
          <w:tcPr>
            <w:tcW w:w="738" w:type="dxa"/>
            <w:shd w:val="clear" w:color="auto" w:fill="auto"/>
          </w:tcPr>
          <w:p w14:paraId="79841C34" w14:textId="77777777" w:rsidR="00453711" w:rsidRPr="00453711" w:rsidRDefault="00453711" w:rsidP="00EE72A8">
            <w:pPr>
              <w:spacing w:before="0"/>
            </w:pPr>
          </w:p>
        </w:tc>
        <w:tc>
          <w:tcPr>
            <w:tcW w:w="8901" w:type="dxa"/>
            <w:shd w:val="clear" w:color="auto" w:fill="auto"/>
          </w:tcPr>
          <w:p w14:paraId="5C3AEACE" w14:textId="77777777" w:rsidR="00453711" w:rsidRPr="00492B4C" w:rsidRDefault="00453711" w:rsidP="00EE72A8">
            <w:pPr>
              <w:spacing w:before="0"/>
            </w:pPr>
          </w:p>
        </w:tc>
      </w:tr>
      <w:tr w:rsidR="00B215FB" w:rsidRPr="00492B4C" w14:paraId="5F1647B7" w14:textId="77777777" w:rsidTr="00453711">
        <w:tblPrEx>
          <w:shd w:val="clear" w:color="auto" w:fill="008000"/>
        </w:tblPrEx>
        <w:tc>
          <w:tcPr>
            <w:tcW w:w="738" w:type="dxa"/>
            <w:shd w:val="clear" w:color="auto" w:fill="1D9E9E"/>
          </w:tcPr>
          <w:p w14:paraId="32375720" w14:textId="77777777" w:rsidR="00B215FB" w:rsidRPr="00492B4C" w:rsidRDefault="00B215FB" w:rsidP="008F6F23">
            <w:pPr>
              <w:spacing w:before="0"/>
              <w:jc w:val="center"/>
              <w:rPr>
                <w:color w:val="FFFFFF" w:themeColor="background1"/>
                <w:sz w:val="80"/>
              </w:rPr>
            </w:pPr>
            <w:r>
              <w:rPr>
                <w:color w:val="FFFFFF" w:themeColor="background1"/>
                <w:sz w:val="80"/>
              </w:rPr>
              <w:t>3</w:t>
            </w:r>
          </w:p>
        </w:tc>
        <w:tc>
          <w:tcPr>
            <w:tcW w:w="8901" w:type="dxa"/>
            <w:shd w:val="clear" w:color="auto" w:fill="1D9E9E"/>
          </w:tcPr>
          <w:p w14:paraId="76CC3C9F" w14:textId="35B398C5" w:rsidR="009D4844" w:rsidRPr="00492B4C" w:rsidRDefault="004062E4" w:rsidP="009D4844">
            <w:pPr>
              <w:rPr>
                <w:b/>
                <w:color w:val="FFFFFF" w:themeColor="background1"/>
              </w:rPr>
            </w:pPr>
            <w:r>
              <w:rPr>
                <w:b/>
                <w:color w:val="FFFFFF" w:themeColor="background1"/>
              </w:rPr>
              <w:t xml:space="preserve">Solicitar a los licitadores que completen la </w:t>
            </w:r>
            <w:r w:rsidR="00610A28" w:rsidRPr="00865BCB">
              <w:rPr>
                <w:b/>
                <w:color w:val="FFFFFF" w:themeColor="background1"/>
              </w:rPr>
              <w:t>h</w:t>
            </w:r>
            <w:r w:rsidR="00610A28">
              <w:rPr>
                <w:b/>
                <w:color w:val="FFFFFF" w:themeColor="background1"/>
              </w:rPr>
              <w:t xml:space="preserve">oja </w:t>
            </w:r>
            <w:r w:rsidR="00610A28" w:rsidRPr="00865BCB">
              <w:rPr>
                <w:b/>
                <w:color w:val="FFFFFF" w:themeColor="background1"/>
              </w:rPr>
              <w:t>«</w:t>
            </w:r>
            <w:proofErr w:type="spellStart"/>
            <w:r w:rsidR="00610A28" w:rsidRPr="00865BCB">
              <w:rPr>
                <w:b/>
                <w:color w:val="FFFFFF" w:themeColor="background1"/>
              </w:rPr>
              <w:t>D</w:t>
            </w:r>
            <w:r w:rsidR="00610A28">
              <w:rPr>
                <w:b/>
                <w:color w:val="FFFFFF" w:themeColor="background1"/>
              </w:rPr>
              <w:t>ato</w:t>
            </w:r>
            <w:r w:rsidR="00F836C5">
              <w:rPr>
                <w:b/>
                <w:color w:val="FFFFFF" w:themeColor="background1"/>
              </w:rPr>
              <w:t>s_Li</w:t>
            </w:r>
            <w:r w:rsidR="00610A28" w:rsidRPr="00865BCB">
              <w:rPr>
                <w:b/>
                <w:color w:val="FFFFFF" w:themeColor="background1"/>
              </w:rPr>
              <w:t>citador</w:t>
            </w:r>
            <w:proofErr w:type="spellEnd"/>
            <w:r w:rsidR="00610A28" w:rsidRPr="00865BCB">
              <w:rPr>
                <w:b/>
                <w:color w:val="FFFFFF" w:themeColor="background1"/>
              </w:rPr>
              <w:t xml:space="preserve">» </w:t>
            </w:r>
            <w:r>
              <w:rPr>
                <w:b/>
                <w:color w:val="FFFFFF" w:themeColor="background1"/>
              </w:rPr>
              <w:t>de la herramienta</w:t>
            </w:r>
          </w:p>
          <w:p w14:paraId="18588860" w14:textId="6812D649" w:rsidR="008978D2" w:rsidRPr="00071D06" w:rsidRDefault="00352C45" w:rsidP="00E87B3C">
            <w:pPr>
              <w:spacing w:after="120"/>
              <w:rPr>
                <w:color w:val="FFFFFF" w:themeColor="background1"/>
                <w:sz w:val="21"/>
                <w:szCs w:val="21"/>
              </w:rPr>
            </w:pPr>
            <w:r w:rsidRPr="00071D06">
              <w:rPr>
                <w:color w:val="FFFFFF" w:themeColor="background1"/>
                <w:sz w:val="21"/>
                <w:szCs w:val="21"/>
              </w:rPr>
              <w:t xml:space="preserve">En los documentos de licitación, se debe requerir a los licitadores que presenten la información adecuada a través de la </w:t>
            </w:r>
            <w:r w:rsidR="00610A28">
              <w:rPr>
                <w:color w:val="FFFFFF" w:themeColor="background1"/>
                <w:sz w:val="20"/>
                <w:szCs w:val="20"/>
              </w:rPr>
              <w:t>p</w:t>
            </w:r>
            <w:r w:rsidR="00610A28">
              <w:rPr>
                <w:color w:val="FFFFFF" w:themeColor="background1"/>
              </w:rPr>
              <w:t xml:space="preserve">estaña </w:t>
            </w:r>
            <w:r w:rsidR="00610A28" w:rsidRPr="00C226A6">
              <w:rPr>
                <w:color w:val="FFFFFF" w:themeColor="background1"/>
                <w:sz w:val="20"/>
                <w:szCs w:val="20"/>
              </w:rPr>
              <w:t>«</w:t>
            </w:r>
            <w:proofErr w:type="spellStart"/>
            <w:r w:rsidR="00610A28">
              <w:rPr>
                <w:color w:val="FFFFFF" w:themeColor="background1"/>
                <w:sz w:val="20"/>
                <w:szCs w:val="20"/>
              </w:rPr>
              <w:t>D</w:t>
            </w:r>
            <w:r w:rsidR="00610A28">
              <w:rPr>
                <w:color w:val="FFFFFF" w:themeColor="background1"/>
              </w:rPr>
              <w:t>atos</w:t>
            </w:r>
            <w:r w:rsidR="00F836C5">
              <w:rPr>
                <w:color w:val="FFFFFF" w:themeColor="background1"/>
              </w:rPr>
              <w:t>_L</w:t>
            </w:r>
            <w:r w:rsidR="00610A28" w:rsidRPr="00C226A6">
              <w:rPr>
                <w:color w:val="FFFFFF" w:themeColor="background1"/>
                <w:sz w:val="20"/>
                <w:szCs w:val="20"/>
              </w:rPr>
              <w:t>icitador</w:t>
            </w:r>
            <w:proofErr w:type="spellEnd"/>
            <w:r w:rsidRPr="00071D06">
              <w:rPr>
                <w:color w:val="FFFFFF" w:themeColor="background1"/>
                <w:sz w:val="21"/>
                <w:szCs w:val="21"/>
              </w:rPr>
              <w:t xml:space="preserve">» de la herramienta y que protejan esa hoja al enviar sus ofertas para garantizar que no se produzca manipulación alguna de los datos durante el proceso de evaluación. </w:t>
            </w:r>
          </w:p>
          <w:p w14:paraId="3CF6B1F8" w14:textId="3B278E30" w:rsidR="003F5220" w:rsidRPr="00492B4C" w:rsidRDefault="003F5220" w:rsidP="00E87B3C">
            <w:pPr>
              <w:spacing w:after="120"/>
              <w:rPr>
                <w:color w:val="FFFFFF" w:themeColor="background1"/>
              </w:rPr>
            </w:pPr>
            <w:r w:rsidRPr="00071D06">
              <w:rPr>
                <w:color w:val="FFFFFF" w:themeColor="background1"/>
                <w:sz w:val="21"/>
                <w:szCs w:val="21"/>
              </w:rPr>
              <w:t xml:space="preserve">La información en esta hoja está vinculada a la </w:t>
            </w:r>
            <w:r w:rsidR="00610A28">
              <w:rPr>
                <w:color w:val="FFFFFF" w:themeColor="background1"/>
              </w:rPr>
              <w:t>hoja</w:t>
            </w:r>
            <w:r w:rsidR="00610A28" w:rsidRPr="00C226A6">
              <w:rPr>
                <w:color w:val="FFFFFF" w:themeColor="background1"/>
                <w:sz w:val="20"/>
                <w:szCs w:val="20"/>
              </w:rPr>
              <w:t xml:space="preserve"> «</w:t>
            </w:r>
            <w:proofErr w:type="spellStart"/>
            <w:r w:rsidR="00610A28">
              <w:rPr>
                <w:color w:val="FFFFFF" w:themeColor="background1"/>
                <w:sz w:val="20"/>
                <w:szCs w:val="20"/>
              </w:rPr>
              <w:t>D</w:t>
            </w:r>
            <w:r w:rsidR="00610A28" w:rsidRPr="00C226A6">
              <w:rPr>
                <w:color w:val="FFFFFF" w:themeColor="background1"/>
                <w:sz w:val="20"/>
                <w:szCs w:val="20"/>
              </w:rPr>
              <w:t>atos</w:t>
            </w:r>
            <w:r w:rsidR="00F836C5">
              <w:rPr>
                <w:color w:val="FFFFFF" w:themeColor="background1"/>
                <w:sz w:val="20"/>
                <w:szCs w:val="20"/>
              </w:rPr>
              <w:t>_R</w:t>
            </w:r>
            <w:r w:rsidR="00610A28" w:rsidRPr="00C226A6">
              <w:rPr>
                <w:color w:val="FFFFFF" w:themeColor="background1"/>
                <w:sz w:val="20"/>
                <w:szCs w:val="20"/>
              </w:rPr>
              <w:t>esultados</w:t>
            </w:r>
            <w:r w:rsidR="00F836C5">
              <w:rPr>
                <w:color w:val="FFFFFF" w:themeColor="background1"/>
                <w:sz w:val="20"/>
                <w:szCs w:val="20"/>
              </w:rPr>
              <w:t>_CCV</w:t>
            </w:r>
            <w:proofErr w:type="spellEnd"/>
            <w:r w:rsidRPr="00071D06">
              <w:rPr>
                <w:color w:val="FFFFFF" w:themeColor="background1"/>
                <w:sz w:val="21"/>
                <w:szCs w:val="21"/>
              </w:rPr>
              <w:t>», por lo que es importante mantener la estructura proporcionada para garantizar el cálculo correcto de los resultados del CCV.</w:t>
            </w:r>
          </w:p>
        </w:tc>
      </w:tr>
      <w:tr w:rsidR="00453711" w:rsidRPr="00492B4C" w14:paraId="1925090F" w14:textId="77777777" w:rsidTr="00EE72A8">
        <w:tblPrEx>
          <w:tblLook w:val="04A0" w:firstRow="1" w:lastRow="0" w:firstColumn="1" w:lastColumn="0" w:noHBand="0" w:noVBand="1"/>
        </w:tblPrEx>
        <w:tc>
          <w:tcPr>
            <w:tcW w:w="738" w:type="dxa"/>
            <w:shd w:val="clear" w:color="auto" w:fill="auto"/>
          </w:tcPr>
          <w:p w14:paraId="765C5084" w14:textId="77777777" w:rsidR="00453711" w:rsidRPr="00453711" w:rsidRDefault="00453711" w:rsidP="00EE72A8">
            <w:pPr>
              <w:spacing w:before="0"/>
            </w:pPr>
          </w:p>
        </w:tc>
        <w:tc>
          <w:tcPr>
            <w:tcW w:w="8901" w:type="dxa"/>
            <w:shd w:val="clear" w:color="auto" w:fill="auto"/>
          </w:tcPr>
          <w:p w14:paraId="4E89D7B5" w14:textId="77777777" w:rsidR="00453711" w:rsidRPr="00492B4C" w:rsidRDefault="00453711" w:rsidP="00EE72A8">
            <w:pPr>
              <w:spacing w:before="0"/>
            </w:pPr>
          </w:p>
        </w:tc>
      </w:tr>
      <w:tr w:rsidR="004062E4" w:rsidRPr="00492B4C" w14:paraId="63871D7F" w14:textId="77777777" w:rsidTr="00453711">
        <w:tblPrEx>
          <w:shd w:val="clear" w:color="auto" w:fill="008000"/>
        </w:tblPrEx>
        <w:tc>
          <w:tcPr>
            <w:tcW w:w="738" w:type="dxa"/>
            <w:shd w:val="clear" w:color="auto" w:fill="AEAAAA" w:themeFill="background2" w:themeFillShade="BF"/>
          </w:tcPr>
          <w:p w14:paraId="5D69A55D" w14:textId="5C689F38" w:rsidR="004062E4" w:rsidRPr="00492B4C" w:rsidRDefault="008978D2" w:rsidP="008F6F23">
            <w:pPr>
              <w:spacing w:before="0"/>
              <w:jc w:val="center"/>
              <w:rPr>
                <w:sz w:val="80"/>
              </w:rPr>
            </w:pPr>
            <w:r>
              <w:rPr>
                <w:sz w:val="80"/>
              </w:rPr>
              <w:t>4</w:t>
            </w:r>
          </w:p>
        </w:tc>
        <w:tc>
          <w:tcPr>
            <w:tcW w:w="8901" w:type="dxa"/>
            <w:shd w:val="clear" w:color="auto" w:fill="AEAAAA" w:themeFill="background2" w:themeFillShade="BF"/>
          </w:tcPr>
          <w:p w14:paraId="4E3148F5" w14:textId="089D38CE" w:rsidR="004062E4" w:rsidRPr="00492B4C" w:rsidRDefault="00C87CBC" w:rsidP="008F6F23">
            <w:pPr>
              <w:rPr>
                <w:b/>
              </w:rPr>
            </w:pPr>
            <w:r>
              <w:rPr>
                <w:b/>
              </w:rPr>
              <w:t>Usar los resultados del CCV para evaluar el criterio de adjudicación de costes</w:t>
            </w:r>
          </w:p>
          <w:p w14:paraId="416D68CA" w14:textId="29041D83" w:rsidR="00927CA4" w:rsidRPr="00071D06" w:rsidRDefault="00927CA4" w:rsidP="00971607">
            <w:pPr>
              <w:spacing w:after="120"/>
              <w:rPr>
                <w:sz w:val="21"/>
                <w:szCs w:val="21"/>
              </w:rPr>
            </w:pPr>
            <w:r w:rsidRPr="00071D06">
              <w:rPr>
                <w:sz w:val="21"/>
                <w:szCs w:val="21"/>
              </w:rPr>
              <w:t xml:space="preserve">Como las autoridades contratantes utilizan diferentes fórmulas y ponderaciones para evaluar los costes, la herramienta CCV no calcula por sí misma una puntuación para cada oferta, sino que proporciona los valores de los costes que se incluirán en este cálculo. Es necesario calcular la puntuación del coste para cada oferta atendiendo a los resultados del CCV, la ponderación del criterio de adjudicación de costes y la fórmula indicada en los documentos de licitación. </w:t>
            </w:r>
          </w:p>
          <w:p w14:paraId="38F9D5AD" w14:textId="1D59D40B" w:rsidR="00971607" w:rsidRPr="00492B4C" w:rsidRDefault="00971607" w:rsidP="00971607">
            <w:pPr>
              <w:spacing w:after="120"/>
            </w:pPr>
            <w:r w:rsidRPr="00071D06">
              <w:rPr>
                <w:sz w:val="21"/>
                <w:szCs w:val="21"/>
              </w:rPr>
              <w:t>Al combinar esto con los otros criterios de adjudicación establecidos en los documentos de licitación, se podrá seleccionar la oferta con los mejores resultados generales.</w:t>
            </w:r>
          </w:p>
        </w:tc>
      </w:tr>
    </w:tbl>
    <w:p w14:paraId="0A268548" w14:textId="77777777" w:rsidR="00995F36" w:rsidRDefault="00995F36" w:rsidP="00D1199C">
      <w:pPr>
        <w:pStyle w:val="Ttulo3"/>
      </w:pPr>
    </w:p>
    <w:p w14:paraId="313187D2" w14:textId="77777777" w:rsidR="00995F36" w:rsidRDefault="00995F36" w:rsidP="00D1199C">
      <w:pPr>
        <w:pStyle w:val="Ttulo3"/>
        <w:sectPr w:rsidR="00995F36" w:rsidSect="00DD206B">
          <w:type w:val="continuous"/>
          <w:pgSz w:w="11907" w:h="16840" w:code="9"/>
          <w:pgMar w:top="1418" w:right="1134" w:bottom="851" w:left="1134" w:header="567" w:footer="567" w:gutter="0"/>
          <w:cols w:space="720"/>
        </w:sectPr>
      </w:pPr>
    </w:p>
    <w:p w14:paraId="4A93F06B" w14:textId="12325D4A" w:rsidR="00D1199C" w:rsidRPr="00492B4C" w:rsidRDefault="00D1199C" w:rsidP="00D1199C">
      <w:pPr>
        <w:pStyle w:val="Ttulo3"/>
      </w:pPr>
      <w:r>
        <w:lastRenderedPageBreak/>
        <w:t>Resumen de las funciones de la herramienta</w:t>
      </w:r>
    </w:p>
    <w:p w14:paraId="287B029A" w14:textId="022D02FF" w:rsidR="00D1199C" w:rsidRPr="00003218" w:rsidRDefault="001C385B" w:rsidP="00C20E93">
      <w:pPr>
        <w:spacing w:after="120"/>
        <w:rPr>
          <w:sz w:val="20"/>
          <w:szCs w:val="20"/>
        </w:rPr>
      </w:pPr>
      <w:r>
        <w:t>La herramienta CCV contiene seis hojas, pero la principal es la de «</w:t>
      </w:r>
      <w:proofErr w:type="spellStart"/>
      <w:r>
        <w:t>Datos</w:t>
      </w:r>
      <w:r w:rsidR="00F836C5">
        <w:t>_R</w:t>
      </w:r>
      <w:r>
        <w:t>esultados</w:t>
      </w:r>
      <w:r w:rsidR="00F836C5">
        <w:t>_CCV</w:t>
      </w:r>
      <w:proofErr w:type="spellEnd"/>
      <w:r>
        <w:t>», donde se compilan los parámetros y la información del CCV y se presentan los resultados</w:t>
      </w:r>
      <w:r>
        <w:rPr>
          <w:sz w:val="20"/>
          <w:szCs w:val="20"/>
        </w:rPr>
        <w:t xml:space="preserve">. </w:t>
      </w:r>
    </w:p>
    <w:tbl>
      <w:tblPr>
        <w:tblStyle w:val="Tablaconcuadrcula"/>
        <w:tblW w:w="14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7269"/>
        <w:gridCol w:w="7087"/>
      </w:tblGrid>
      <w:tr w:rsidR="002F6D9E" w14:paraId="43072844" w14:textId="77777777" w:rsidTr="00071D06">
        <w:trPr>
          <w:cnfStyle w:val="100000000000" w:firstRow="1" w:lastRow="0" w:firstColumn="0" w:lastColumn="0" w:oddVBand="0" w:evenVBand="0" w:oddHBand="0" w:evenHBand="0" w:firstRowFirstColumn="0" w:firstRowLastColumn="0" w:lastRowFirstColumn="0" w:lastRowLastColumn="0"/>
          <w:trHeight w:val="395"/>
        </w:trPr>
        <w:tc>
          <w:tcPr>
            <w:tcW w:w="381" w:type="dxa"/>
          </w:tcPr>
          <w:p w14:paraId="2CC2B6E4" w14:textId="6EF86A15" w:rsidR="000714F7" w:rsidRDefault="000714F7" w:rsidP="000B4EF0"/>
        </w:tc>
        <w:tc>
          <w:tcPr>
            <w:tcW w:w="7269" w:type="dxa"/>
          </w:tcPr>
          <w:p w14:paraId="5AB273B1" w14:textId="77777777" w:rsidR="00FE10C8" w:rsidRPr="005122ED" w:rsidRDefault="00FE10C8" w:rsidP="00504C43">
            <w:pPr>
              <w:contextualSpacing/>
              <w:jc w:val="left"/>
              <w:rPr>
                <w:sz w:val="18"/>
                <w:szCs w:val="18"/>
                <w:highlight w:val="yellow"/>
              </w:rPr>
            </w:pPr>
          </w:p>
          <w:p w14:paraId="0CBF383D" w14:textId="1F52018D" w:rsidR="000714F7" w:rsidRPr="006F7021" w:rsidRDefault="000714F7" w:rsidP="00504C43">
            <w:pPr>
              <w:contextualSpacing/>
              <w:jc w:val="left"/>
              <w:rPr>
                <w:sz w:val="18"/>
                <w:szCs w:val="18"/>
              </w:rPr>
            </w:pPr>
            <w:r>
              <w:rPr>
                <w:sz w:val="18"/>
                <w:szCs w:val="18"/>
              </w:rPr>
              <w:t xml:space="preserve">Como autoridad pública, se debe completar la sección </w:t>
            </w:r>
            <w:proofErr w:type="gramStart"/>
            <w:r>
              <w:rPr>
                <w:sz w:val="18"/>
                <w:szCs w:val="18"/>
              </w:rPr>
              <w:t>A  -</w:t>
            </w:r>
            <w:proofErr w:type="gramEnd"/>
            <w:r>
              <w:rPr>
                <w:sz w:val="18"/>
                <w:szCs w:val="18"/>
              </w:rPr>
              <w:t xml:space="preserve"> </w:t>
            </w:r>
            <w:r>
              <w:rPr>
                <w:color w:val="FFFFFF" w:themeColor="background1"/>
                <w:sz w:val="18"/>
                <w:szCs w:val="18"/>
                <w:shd w:val="clear" w:color="auto" w:fill="8EDD54"/>
              </w:rPr>
              <w:t>recuadro verde</w:t>
            </w:r>
            <w:r>
              <w:rPr>
                <w:sz w:val="18"/>
                <w:szCs w:val="18"/>
              </w:rPr>
              <w:t>.</w:t>
            </w:r>
          </w:p>
          <w:p w14:paraId="44EF10C2" w14:textId="77777777" w:rsidR="000714F7" w:rsidRPr="00071D06" w:rsidRDefault="000714F7" w:rsidP="00504C43">
            <w:pPr>
              <w:contextualSpacing/>
              <w:jc w:val="left"/>
              <w:rPr>
                <w:sz w:val="10"/>
                <w:szCs w:val="10"/>
                <w:highlight w:val="yellow"/>
              </w:rPr>
            </w:pPr>
          </w:p>
        </w:tc>
        <w:tc>
          <w:tcPr>
            <w:tcW w:w="7087" w:type="dxa"/>
            <w:vMerge w:val="restart"/>
          </w:tcPr>
          <w:p w14:paraId="2262CAB4" w14:textId="3DA429D8" w:rsidR="000714F7" w:rsidRDefault="006F7021" w:rsidP="00C20E93">
            <w:r>
              <w:rPr>
                <w:noProof/>
              </w:rPr>
              <w:drawing>
                <wp:anchor distT="0" distB="0" distL="114300" distR="114300" simplePos="0" relativeHeight="251692031" behindDoc="0" locked="0" layoutInCell="1" allowOverlap="1" wp14:anchorId="5DE61FEE" wp14:editId="6B98DB95">
                  <wp:simplePos x="0" y="0"/>
                  <wp:positionH relativeFrom="column">
                    <wp:posOffset>90805</wp:posOffset>
                  </wp:positionH>
                  <wp:positionV relativeFrom="paragraph">
                    <wp:posOffset>82550</wp:posOffset>
                  </wp:positionV>
                  <wp:extent cx="4232910" cy="45535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jpg"/>
                          <pic:cNvPicPr/>
                        </pic:nvPicPr>
                        <pic:blipFill>
                          <a:blip r:embed="rId34"/>
                          <a:stretch>
                            <a:fillRect/>
                          </a:stretch>
                        </pic:blipFill>
                        <pic:spPr>
                          <a:xfrm>
                            <a:off x="0" y="0"/>
                            <a:ext cx="4232910" cy="4553585"/>
                          </a:xfrm>
                          <a:prstGeom prst="rect">
                            <a:avLst/>
                          </a:prstGeom>
                        </pic:spPr>
                      </pic:pic>
                    </a:graphicData>
                  </a:graphic>
                  <wp14:sizeRelH relativeFrom="margin">
                    <wp14:pctWidth>0</wp14:pctWidth>
                  </wp14:sizeRelH>
                  <wp14:sizeRelV relativeFrom="margin">
                    <wp14:pctHeight>0</wp14:pctHeight>
                  </wp14:sizeRelV>
                </wp:anchor>
              </w:drawing>
            </w:r>
          </w:p>
        </w:tc>
      </w:tr>
      <w:tr w:rsidR="002F6D9E" w14:paraId="5A38BB81" w14:textId="77777777" w:rsidTr="00071D06">
        <w:tc>
          <w:tcPr>
            <w:tcW w:w="381" w:type="dxa"/>
          </w:tcPr>
          <w:p w14:paraId="721E59CF" w14:textId="38585859" w:rsidR="00504C43" w:rsidRDefault="00071D06" w:rsidP="00504C43">
            <w:r>
              <w:rPr>
                <w:noProof/>
              </w:rPr>
              <mc:AlternateContent>
                <mc:Choice Requires="wps">
                  <w:drawing>
                    <wp:anchor distT="0" distB="0" distL="114300" distR="114300" simplePos="0" relativeHeight="251659264" behindDoc="0" locked="0" layoutInCell="1" allowOverlap="1" wp14:anchorId="39BD332B" wp14:editId="5EFDE62A">
                      <wp:simplePos x="0" y="0"/>
                      <wp:positionH relativeFrom="column">
                        <wp:posOffset>-66040</wp:posOffset>
                      </wp:positionH>
                      <wp:positionV relativeFrom="paragraph">
                        <wp:posOffset>-335280</wp:posOffset>
                      </wp:positionV>
                      <wp:extent cx="257175" cy="266700"/>
                      <wp:effectExtent l="0" t="0" r="0" b="0"/>
                      <wp:wrapNone/>
                      <wp:docPr id="8" name="Oval 8"/>
                      <wp:cNvGraphicFramePr/>
                      <a:graphic xmlns:a="http://schemas.openxmlformats.org/drawingml/2006/main">
                        <a:graphicData uri="http://schemas.microsoft.com/office/word/2010/wordprocessingShape">
                          <wps:wsp>
                            <wps:cNvSpPr/>
                            <wps:spPr>
                              <a:xfrm>
                                <a:off x="0" y="0"/>
                                <a:ext cx="257175" cy="2667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6C694E" w14:textId="2040EBBF" w:rsidR="00FE10C8" w:rsidRDefault="00FE10C8" w:rsidP="00FE10C8">
                                  <w:pPr>
                                    <w:spacing w:before="0"/>
                                    <w:jc w:val="center"/>
                                  </w:pPr>
                                  <w:r>
                                    <w:rPr>
                                      <w:color w:val="000000" w:themeColor="text1"/>
                                      <w:sz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D332B" id="Oval 8" o:spid="_x0000_s1026" style="position:absolute;left:0;text-align:left;margin-left:-5.2pt;margin-top:-26.4pt;width:20.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" fillcolor="#ffc000" stroked="f" strokeweight="1pt">
                      <v:stroke joinstyle="miter"/>
                      <v:textbox inset="0,0,0,0">
                        <w:txbxContent>
                          <w:p w14:paraId="096C694E" w14:textId="2040EBBF" w:rsidR="00FE10C8" w:rsidRDefault="00FE10C8" w:rsidP="00FE10C8">
                            <w:pPr>
                              <w:spacing w:before="0"/>
                              <w:jc w:val="center"/>
                            </w:pPr>
                            <w:r>
                              <w:rPr>
                                <w:color w:val="000000" w:themeColor="text1"/>
                                <w:sz w:val="18"/>
                              </w:rPr>
                              <w:t>1</w:t>
                            </w:r>
                          </w:p>
                        </w:txbxContent>
                      </v:textbox>
                    </v:oval>
                  </w:pict>
                </mc:Fallback>
              </mc:AlternateContent>
            </w:r>
            <w:r w:rsidR="00037ED4">
              <w:rPr>
                <w:noProof/>
              </w:rPr>
              <mc:AlternateContent>
                <mc:Choice Requires="wps">
                  <w:drawing>
                    <wp:anchor distT="0" distB="0" distL="114300" distR="114300" simplePos="0" relativeHeight="251665408" behindDoc="0" locked="0" layoutInCell="1" allowOverlap="1" wp14:anchorId="73692DCF" wp14:editId="7FEE168A">
                      <wp:simplePos x="0" y="0"/>
                      <wp:positionH relativeFrom="column">
                        <wp:posOffset>-72390</wp:posOffset>
                      </wp:positionH>
                      <wp:positionV relativeFrom="paragraph">
                        <wp:posOffset>5080</wp:posOffset>
                      </wp:positionV>
                      <wp:extent cx="255600" cy="266400"/>
                      <wp:effectExtent l="0" t="0" r="0" b="635"/>
                      <wp:wrapNone/>
                      <wp:docPr id="13" name="Oval 13"/>
                      <wp:cNvGraphicFramePr/>
                      <a:graphic xmlns:a="http://schemas.openxmlformats.org/drawingml/2006/main">
                        <a:graphicData uri="http://schemas.microsoft.com/office/word/2010/wordprocessingShape">
                          <wps:wsp>
                            <wps:cNvSpPr/>
                            <wps:spPr>
                              <a:xfrm>
                                <a:off x="0" y="0"/>
                                <a:ext cx="255600" cy="2664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6AF145" w14:textId="0816D2BB" w:rsidR="00037ED4" w:rsidRDefault="00037ED4" w:rsidP="00037ED4">
                                  <w:pPr>
                                    <w:spacing w:before="0"/>
                                    <w:jc w:val="center"/>
                                  </w:pPr>
                                  <w:r>
                                    <w:rPr>
                                      <w:color w:val="000000" w:themeColor="text1"/>
                                      <w:sz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92DCF" id="Oval 13" o:spid="_x0000_s1027" style="position:absolute;left:0;text-align:left;margin-left:-5.7pt;margin-top:.4pt;width:20.1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" fillcolor="#ffc000" stroked="f" strokeweight="1pt">
                      <v:stroke joinstyle="miter"/>
                      <v:textbox inset="0,0,0,0">
                        <w:txbxContent>
                          <w:p w14:paraId="0D6AF145" w14:textId="0816D2BB" w:rsidR="00037ED4" w:rsidRDefault="00037ED4" w:rsidP="00037ED4">
                            <w:pPr>
                              <w:spacing w:before="0"/>
                              <w:jc w:val="center"/>
                            </w:pPr>
                            <w:r>
                              <w:rPr>
                                <w:color w:val="000000" w:themeColor="text1"/>
                                <w:sz w:val="18"/>
                              </w:rPr>
                              <w:t>2</w:t>
                            </w:r>
                          </w:p>
                        </w:txbxContent>
                      </v:textbox>
                    </v:oval>
                  </w:pict>
                </mc:Fallback>
              </mc:AlternateContent>
            </w:r>
          </w:p>
        </w:tc>
        <w:tc>
          <w:tcPr>
            <w:tcW w:w="7269" w:type="dxa"/>
          </w:tcPr>
          <w:p w14:paraId="65AD486A" w14:textId="5D17B0F2" w:rsidR="00504C43" w:rsidRPr="006F7021" w:rsidRDefault="00504C43" w:rsidP="00504C43">
            <w:pPr>
              <w:contextualSpacing/>
              <w:jc w:val="left"/>
              <w:rPr>
                <w:sz w:val="18"/>
                <w:szCs w:val="18"/>
              </w:rPr>
            </w:pPr>
            <w:r>
              <w:rPr>
                <w:sz w:val="18"/>
                <w:szCs w:val="18"/>
              </w:rPr>
              <w:t>Se proporcionan breves explicaciones y recomendaciones en comentarios emergentes para guiar al usuario sobre la información que se debe proporcionar en cada parámetro incluido en la herramienta. Simplemente hay que pasar el cursor sobre la celda para leer el comentario.</w:t>
            </w:r>
          </w:p>
          <w:p w14:paraId="1168504A" w14:textId="285DDE35" w:rsidR="00504C43" w:rsidRPr="00071D06" w:rsidRDefault="00504C43" w:rsidP="00504C43">
            <w:pPr>
              <w:contextualSpacing/>
              <w:jc w:val="left"/>
              <w:rPr>
                <w:sz w:val="10"/>
                <w:szCs w:val="10"/>
                <w:highlight w:val="yellow"/>
              </w:rPr>
            </w:pPr>
          </w:p>
        </w:tc>
        <w:tc>
          <w:tcPr>
            <w:tcW w:w="7087" w:type="dxa"/>
            <w:vMerge/>
          </w:tcPr>
          <w:p w14:paraId="69DCE48C" w14:textId="77777777" w:rsidR="00504C43" w:rsidRDefault="00504C43" w:rsidP="00504C43"/>
        </w:tc>
      </w:tr>
      <w:tr w:rsidR="002F6D9E" w14:paraId="4C093787" w14:textId="77777777" w:rsidTr="00071D06">
        <w:tc>
          <w:tcPr>
            <w:tcW w:w="381" w:type="dxa"/>
          </w:tcPr>
          <w:p w14:paraId="4D7E2C3D" w14:textId="722FFAA5" w:rsidR="00504C43" w:rsidRDefault="00037ED4" w:rsidP="00504C43">
            <w:r>
              <w:rPr>
                <w:noProof/>
              </w:rPr>
              <mc:AlternateContent>
                <mc:Choice Requires="wps">
                  <w:drawing>
                    <wp:anchor distT="0" distB="0" distL="114300" distR="114300" simplePos="0" relativeHeight="251669504" behindDoc="0" locked="0" layoutInCell="1" allowOverlap="1" wp14:anchorId="55479489" wp14:editId="0EA39A25">
                      <wp:simplePos x="0" y="0"/>
                      <wp:positionH relativeFrom="column">
                        <wp:posOffset>-73660</wp:posOffset>
                      </wp:positionH>
                      <wp:positionV relativeFrom="paragraph">
                        <wp:posOffset>-27940</wp:posOffset>
                      </wp:positionV>
                      <wp:extent cx="276225" cy="266065"/>
                      <wp:effectExtent l="0" t="0" r="9525" b="635"/>
                      <wp:wrapNone/>
                      <wp:docPr id="14" name="Oval 14"/>
                      <wp:cNvGraphicFramePr/>
                      <a:graphic xmlns:a="http://schemas.openxmlformats.org/drawingml/2006/main">
                        <a:graphicData uri="http://schemas.microsoft.com/office/word/2010/wordprocessingShape">
                          <wps:wsp>
                            <wps:cNvSpPr/>
                            <wps:spPr>
                              <a:xfrm>
                                <a:off x="0" y="0"/>
                                <a:ext cx="276225" cy="26606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DDBE70" w14:textId="77777777" w:rsidR="00037ED4" w:rsidRDefault="00037ED4" w:rsidP="00037ED4">
                                  <w:pPr>
                                    <w:spacing w:before="0"/>
                                    <w:jc w:val="center"/>
                                  </w:pPr>
                                  <w:r>
                                    <w:rPr>
                                      <w:color w:val="000000" w:themeColor="text1"/>
                                      <w:sz w:val="1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79489" id="Oval 14" o:spid="_x0000_s1028" style="position:absolute;left:0;text-align:left;margin-left:-5.8pt;margin-top:-2.2pt;width:21.75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" fillcolor="#ffc000" stroked="f" strokeweight="1pt">
                      <v:stroke joinstyle="miter"/>
                      <v:textbox inset="0,0,0,0">
                        <w:txbxContent>
                          <w:p w14:paraId="0EDDBE70" w14:textId="77777777" w:rsidR="00037ED4" w:rsidRDefault="00037ED4" w:rsidP="00037ED4">
                            <w:pPr>
                              <w:spacing w:before="0"/>
                              <w:jc w:val="center"/>
                            </w:pPr>
                            <w:r>
                              <w:rPr>
                                <w:color w:val="000000" w:themeColor="text1"/>
                                <w:sz w:val="18"/>
                              </w:rPr>
                              <w:t>3</w:t>
                            </w:r>
                          </w:p>
                        </w:txbxContent>
                      </v:textbox>
                    </v:oval>
                  </w:pict>
                </mc:Fallback>
              </mc:AlternateContent>
            </w:r>
          </w:p>
        </w:tc>
        <w:tc>
          <w:tcPr>
            <w:tcW w:w="7269" w:type="dxa"/>
          </w:tcPr>
          <w:p w14:paraId="43C0058A" w14:textId="37CAB410" w:rsidR="00504C43" w:rsidRPr="006F7021" w:rsidRDefault="00504C43" w:rsidP="00504C43">
            <w:pPr>
              <w:contextualSpacing/>
              <w:jc w:val="left"/>
              <w:rPr>
                <w:sz w:val="18"/>
                <w:szCs w:val="18"/>
              </w:rPr>
            </w:pPr>
            <w:r>
              <w:rPr>
                <w:sz w:val="18"/>
                <w:szCs w:val="18"/>
              </w:rPr>
              <w:t>Haga clic en el signo [+/-] de la parte superior para mostrar u ocultar más columnas y describir diferentes tipos de estancias o áreas del edificio en el proyecto, y en el de la izquierda para ocultar o mostrar ciertos parámetros de coste.</w:t>
            </w:r>
          </w:p>
          <w:p w14:paraId="7C73FAF8" w14:textId="6715D52C" w:rsidR="00504C43" w:rsidRPr="00071D06" w:rsidRDefault="00504C43" w:rsidP="00504C43">
            <w:pPr>
              <w:contextualSpacing/>
              <w:jc w:val="left"/>
              <w:rPr>
                <w:sz w:val="10"/>
                <w:szCs w:val="10"/>
                <w:highlight w:val="yellow"/>
              </w:rPr>
            </w:pPr>
          </w:p>
        </w:tc>
        <w:tc>
          <w:tcPr>
            <w:tcW w:w="7087" w:type="dxa"/>
            <w:vMerge/>
          </w:tcPr>
          <w:p w14:paraId="087001FF" w14:textId="77777777" w:rsidR="00504C43" w:rsidRDefault="00504C43" w:rsidP="00504C43"/>
        </w:tc>
      </w:tr>
      <w:tr w:rsidR="006F7021" w14:paraId="36F50BA0" w14:textId="77777777" w:rsidTr="00071D06">
        <w:trPr>
          <w:trHeight w:val="956"/>
        </w:trPr>
        <w:tc>
          <w:tcPr>
            <w:tcW w:w="381" w:type="dxa"/>
          </w:tcPr>
          <w:p w14:paraId="18A4101C" w14:textId="7F78BCF5" w:rsidR="006F7021" w:rsidRDefault="00071D06" w:rsidP="00504C43">
            <w:r>
              <w:rPr>
                <w:noProof/>
              </w:rPr>
              <mc:AlternateContent>
                <mc:Choice Requires="wps">
                  <w:drawing>
                    <wp:anchor distT="0" distB="0" distL="114300" distR="114300" simplePos="0" relativeHeight="251667456" behindDoc="0" locked="0" layoutInCell="1" allowOverlap="1" wp14:anchorId="396A8EFE" wp14:editId="51B5A2E9">
                      <wp:simplePos x="0" y="0"/>
                      <wp:positionH relativeFrom="column">
                        <wp:posOffset>-74295</wp:posOffset>
                      </wp:positionH>
                      <wp:positionV relativeFrom="paragraph">
                        <wp:posOffset>3810</wp:posOffset>
                      </wp:positionV>
                      <wp:extent cx="255270" cy="266065"/>
                      <wp:effectExtent l="0" t="0" r="0" b="635"/>
                      <wp:wrapNone/>
                      <wp:docPr id="11" name="Oval 11"/>
                      <wp:cNvGraphicFramePr/>
                      <a:graphic xmlns:a="http://schemas.openxmlformats.org/drawingml/2006/main">
                        <a:graphicData uri="http://schemas.microsoft.com/office/word/2010/wordprocessingShape">
                          <wps:wsp>
                            <wps:cNvSpPr/>
                            <wps:spPr>
                              <a:xfrm>
                                <a:off x="0" y="0"/>
                                <a:ext cx="255270" cy="26606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18E27" w14:textId="7FEF45E2" w:rsidR="00037ED4" w:rsidRDefault="00037ED4" w:rsidP="00037ED4">
                                  <w:pPr>
                                    <w:spacing w:before="0"/>
                                    <w:jc w:val="center"/>
                                  </w:pPr>
                                  <w:r>
                                    <w:rPr>
                                      <w:color w:val="000000" w:themeColor="text1"/>
                                      <w:sz w:val="1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6A8EFE" id="Oval 11" o:spid="_x0000_s1029" style="position:absolute;left:0;text-align:left;margin-left:-5.85pt;margin-top:.3pt;width:20.1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" fillcolor="#ffc000" stroked="f" strokeweight="1pt">
                      <v:stroke joinstyle="miter"/>
                      <v:textbox inset="0,0,0,0">
                        <w:txbxContent>
                          <w:p w14:paraId="76918E27" w14:textId="7FEF45E2" w:rsidR="00037ED4" w:rsidRDefault="00037ED4" w:rsidP="00037ED4">
                            <w:pPr>
                              <w:spacing w:before="0"/>
                              <w:jc w:val="center"/>
                            </w:pPr>
                            <w:r>
                              <w:rPr>
                                <w:color w:val="000000" w:themeColor="text1"/>
                                <w:sz w:val="18"/>
                              </w:rPr>
                              <w:t>4</w:t>
                            </w:r>
                          </w:p>
                        </w:txbxContent>
                      </v:textbox>
                    </v:oval>
                  </w:pict>
                </mc:Fallback>
              </mc:AlternateContent>
            </w:r>
          </w:p>
        </w:tc>
        <w:tc>
          <w:tcPr>
            <w:tcW w:w="7269" w:type="dxa"/>
          </w:tcPr>
          <w:p w14:paraId="38A162B7" w14:textId="1275BC03" w:rsidR="006F7021" w:rsidRPr="003C74BE" w:rsidRDefault="00390145" w:rsidP="00504C43">
            <w:pPr>
              <w:contextualSpacing/>
              <w:jc w:val="left"/>
              <w:rPr>
                <w:sz w:val="18"/>
                <w:szCs w:val="18"/>
              </w:rPr>
            </w:pPr>
            <w:r>
              <w:rPr>
                <w:sz w:val="18"/>
                <w:szCs w:val="18"/>
              </w:rPr>
              <w:t xml:space="preserve">Se prevén varios factores y parámetros de costes en la herramienta que pueden o no ser relevantes para su proyecto. Si son irrelevantes, oculte las líneas correspondientes para evitar insertar datos. Recuerde ocultarlos también en la </w:t>
            </w:r>
            <w:r w:rsidR="0050668F">
              <w:rPr>
                <w:sz w:val="18"/>
                <w:szCs w:val="18"/>
              </w:rPr>
              <w:t xml:space="preserve">hoja </w:t>
            </w:r>
            <w:r>
              <w:rPr>
                <w:sz w:val="18"/>
                <w:szCs w:val="18"/>
              </w:rPr>
              <w:t>«</w:t>
            </w:r>
            <w:proofErr w:type="spellStart"/>
            <w:r w:rsidR="0050668F">
              <w:rPr>
                <w:sz w:val="18"/>
                <w:szCs w:val="18"/>
              </w:rPr>
              <w:t>Datos</w:t>
            </w:r>
            <w:r w:rsidR="00F836C5">
              <w:rPr>
                <w:sz w:val="18"/>
                <w:szCs w:val="18"/>
              </w:rPr>
              <w:t>_L</w:t>
            </w:r>
            <w:r>
              <w:rPr>
                <w:sz w:val="18"/>
                <w:szCs w:val="18"/>
              </w:rPr>
              <w:t>icitador</w:t>
            </w:r>
            <w:proofErr w:type="spellEnd"/>
            <w:r>
              <w:rPr>
                <w:sz w:val="18"/>
                <w:szCs w:val="18"/>
              </w:rPr>
              <w:t xml:space="preserve">» para garantizar la coherencia. Este podría ser el caso del mantenimiento (si, por ejemplo, lo realiza su propio personal o como parte de un contrato existente) o si decide no incluir las externalidades medioambientales. </w:t>
            </w:r>
          </w:p>
          <w:p w14:paraId="690AC262" w14:textId="77777777" w:rsidR="006F7021" w:rsidRPr="00071D06" w:rsidRDefault="006F7021" w:rsidP="00504C43">
            <w:pPr>
              <w:contextualSpacing/>
              <w:jc w:val="left"/>
              <w:rPr>
                <w:sz w:val="10"/>
                <w:szCs w:val="10"/>
                <w:highlight w:val="yellow"/>
              </w:rPr>
            </w:pPr>
          </w:p>
        </w:tc>
        <w:tc>
          <w:tcPr>
            <w:tcW w:w="7087" w:type="dxa"/>
            <w:vMerge/>
          </w:tcPr>
          <w:p w14:paraId="5CD01CFD" w14:textId="77777777" w:rsidR="006F7021" w:rsidRDefault="006F7021" w:rsidP="00504C43"/>
        </w:tc>
      </w:tr>
      <w:tr w:rsidR="002F6D9E" w14:paraId="71897BB0" w14:textId="77777777" w:rsidTr="00071D06">
        <w:tc>
          <w:tcPr>
            <w:tcW w:w="381" w:type="dxa"/>
          </w:tcPr>
          <w:p w14:paraId="758E8CD7" w14:textId="09804E0E" w:rsidR="00504C43" w:rsidRDefault="00037ED4" w:rsidP="00504C43">
            <w:r>
              <w:rPr>
                <w:noProof/>
              </w:rPr>
              <mc:AlternateContent>
                <mc:Choice Requires="wps">
                  <w:drawing>
                    <wp:anchor distT="0" distB="0" distL="114300" distR="114300" simplePos="0" relativeHeight="251673600" behindDoc="0" locked="0" layoutInCell="1" allowOverlap="1" wp14:anchorId="1A3F3526" wp14:editId="3A1EBAC8">
                      <wp:simplePos x="0" y="0"/>
                      <wp:positionH relativeFrom="column">
                        <wp:posOffset>-71755</wp:posOffset>
                      </wp:positionH>
                      <wp:positionV relativeFrom="paragraph">
                        <wp:posOffset>6350</wp:posOffset>
                      </wp:positionV>
                      <wp:extent cx="255600" cy="266400"/>
                      <wp:effectExtent l="0" t="0" r="0" b="635"/>
                      <wp:wrapNone/>
                      <wp:docPr id="16" name="Oval 16"/>
                      <wp:cNvGraphicFramePr/>
                      <a:graphic xmlns:a="http://schemas.openxmlformats.org/drawingml/2006/main">
                        <a:graphicData uri="http://schemas.microsoft.com/office/word/2010/wordprocessingShape">
                          <wps:wsp>
                            <wps:cNvSpPr/>
                            <wps:spPr>
                              <a:xfrm>
                                <a:off x="0" y="0"/>
                                <a:ext cx="255600" cy="2664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8D7B66" w14:textId="4415A525" w:rsidR="00037ED4" w:rsidRPr="006F7021" w:rsidRDefault="006F7021" w:rsidP="00037ED4">
                                  <w:pPr>
                                    <w:spacing w:before="0"/>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F3526" id="Oval 16" o:spid="_x0000_s1030" style="position:absolute;left:0;text-align:left;margin-left:-5.65pt;margin-top:.5pt;width:20.1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" fillcolor="#ffc000" stroked="f" strokeweight="1pt">
                      <v:stroke joinstyle="miter"/>
                      <v:textbox inset="0,0,0,0">
                        <w:txbxContent>
                          <w:p w14:paraId="408D7B66" w14:textId="4415A525" w:rsidR="00037ED4" w:rsidRPr="006F7021" w:rsidRDefault="006F7021" w:rsidP="00037ED4">
                            <w:pPr>
                              <w:spacing w:before="0"/>
                              <w:jc w:val="center"/>
                              <w:rPr>
                                <w:color w:val="000000" w:themeColor="text1"/>
                              </w:rPr>
                            </w:pPr>
                            <w:r>
                              <w:rPr>
                                <w:color w:val="000000" w:themeColor="text1"/>
                              </w:rPr>
                              <w:t>5</w:t>
                            </w:r>
                          </w:p>
                        </w:txbxContent>
                      </v:textbox>
                    </v:oval>
                  </w:pict>
                </mc:Fallback>
              </mc:AlternateContent>
            </w:r>
          </w:p>
        </w:tc>
        <w:tc>
          <w:tcPr>
            <w:tcW w:w="7269" w:type="dxa"/>
          </w:tcPr>
          <w:p w14:paraId="5A82E0E1" w14:textId="2F15C169" w:rsidR="000714F7" w:rsidRPr="002F6D9E" w:rsidRDefault="000714F7" w:rsidP="000714F7">
            <w:pPr>
              <w:contextualSpacing/>
              <w:jc w:val="left"/>
              <w:rPr>
                <w:sz w:val="18"/>
                <w:szCs w:val="18"/>
              </w:rPr>
            </w:pPr>
            <w:r>
              <w:rPr>
                <w:sz w:val="18"/>
                <w:szCs w:val="18"/>
              </w:rPr>
              <w:t>Los datos proporcionados por los licitadores a través de la</w:t>
            </w:r>
            <w:r w:rsidR="0050668F">
              <w:rPr>
                <w:sz w:val="18"/>
                <w:szCs w:val="18"/>
              </w:rPr>
              <w:t xml:space="preserve"> pestaña</w:t>
            </w:r>
            <w:r>
              <w:rPr>
                <w:sz w:val="18"/>
                <w:szCs w:val="18"/>
              </w:rPr>
              <w:t xml:space="preserve"> «</w:t>
            </w:r>
            <w:proofErr w:type="spellStart"/>
            <w:r w:rsidR="0050668F">
              <w:rPr>
                <w:sz w:val="18"/>
                <w:szCs w:val="18"/>
              </w:rPr>
              <w:t>Datos</w:t>
            </w:r>
            <w:r w:rsidR="00F836C5">
              <w:rPr>
                <w:sz w:val="18"/>
                <w:szCs w:val="18"/>
              </w:rPr>
              <w:t>_L</w:t>
            </w:r>
            <w:r>
              <w:rPr>
                <w:sz w:val="18"/>
                <w:szCs w:val="18"/>
              </w:rPr>
              <w:t>icitador</w:t>
            </w:r>
            <w:proofErr w:type="spellEnd"/>
            <w:r>
              <w:rPr>
                <w:sz w:val="18"/>
                <w:szCs w:val="18"/>
              </w:rPr>
              <w:t xml:space="preserve">» se copian automáticamente y se muestran en la sección B - </w:t>
            </w:r>
            <w:r>
              <w:rPr>
                <w:color w:val="FFFFFF"/>
                <w:sz w:val="18"/>
                <w:szCs w:val="18"/>
                <w:shd w:val="clear" w:color="auto" w:fill="1D9E9E"/>
              </w:rPr>
              <w:t>cuadro turquesa</w:t>
            </w:r>
            <w:r>
              <w:rPr>
                <w:sz w:val="18"/>
                <w:szCs w:val="18"/>
              </w:rPr>
              <w:t xml:space="preserve">. </w:t>
            </w:r>
          </w:p>
          <w:p w14:paraId="69F9F506" w14:textId="4BEFB915" w:rsidR="000714F7" w:rsidRPr="002F6D9E" w:rsidRDefault="000714F7" w:rsidP="000714F7">
            <w:pPr>
              <w:contextualSpacing/>
              <w:jc w:val="left"/>
              <w:rPr>
                <w:sz w:val="18"/>
                <w:szCs w:val="18"/>
              </w:rPr>
            </w:pPr>
            <w:r>
              <w:rPr>
                <w:sz w:val="18"/>
                <w:szCs w:val="18"/>
              </w:rPr>
              <w:t>Haga clic en el signo [+/-] para mostrarlos u ocultarlos.</w:t>
            </w:r>
          </w:p>
          <w:p w14:paraId="0480850D" w14:textId="2FD25AF4" w:rsidR="00504C43" w:rsidRPr="002F6D9E" w:rsidRDefault="000714F7" w:rsidP="000714F7">
            <w:pPr>
              <w:contextualSpacing/>
              <w:jc w:val="left"/>
              <w:rPr>
                <w:sz w:val="18"/>
                <w:szCs w:val="18"/>
              </w:rPr>
            </w:pPr>
            <w:r>
              <w:rPr>
                <w:sz w:val="18"/>
                <w:szCs w:val="18"/>
              </w:rPr>
              <w:t>Los costes y otros datos que deben proporcionar los licitadores requieren definiciones apropiadas en los documentos de licitación para garantizar la comparabilidad de las ofertas. Asegúrese de que estén incluidos correctamente (por ejemplo, la norma para la vida útil de las bombillas o tareas de mantenimiento específicas).</w:t>
            </w:r>
          </w:p>
          <w:p w14:paraId="78BDFBA7" w14:textId="3539C67D" w:rsidR="000714F7" w:rsidRPr="00071D06" w:rsidRDefault="000714F7" w:rsidP="000714F7">
            <w:pPr>
              <w:contextualSpacing/>
              <w:jc w:val="left"/>
              <w:rPr>
                <w:sz w:val="10"/>
                <w:szCs w:val="10"/>
                <w:highlight w:val="yellow"/>
              </w:rPr>
            </w:pPr>
          </w:p>
        </w:tc>
        <w:tc>
          <w:tcPr>
            <w:tcW w:w="7087" w:type="dxa"/>
            <w:vMerge/>
          </w:tcPr>
          <w:p w14:paraId="2B6C3712" w14:textId="77777777" w:rsidR="00504C43" w:rsidRDefault="00504C43" w:rsidP="00504C43"/>
        </w:tc>
      </w:tr>
      <w:tr w:rsidR="002F6D9E" w14:paraId="2E3D721C" w14:textId="77777777" w:rsidTr="00071D06">
        <w:tc>
          <w:tcPr>
            <w:tcW w:w="381" w:type="dxa"/>
          </w:tcPr>
          <w:p w14:paraId="425AFA16" w14:textId="7A9819C5" w:rsidR="00504C43" w:rsidRDefault="00037ED4" w:rsidP="00504C43">
            <w:r>
              <w:rPr>
                <w:noProof/>
              </w:rPr>
              <mc:AlternateContent>
                <mc:Choice Requires="wps">
                  <w:drawing>
                    <wp:anchor distT="0" distB="0" distL="114300" distR="114300" simplePos="0" relativeHeight="251675648" behindDoc="0" locked="0" layoutInCell="1" allowOverlap="1" wp14:anchorId="3821851E" wp14:editId="47F062EC">
                      <wp:simplePos x="0" y="0"/>
                      <wp:positionH relativeFrom="column">
                        <wp:posOffset>-71755</wp:posOffset>
                      </wp:positionH>
                      <wp:positionV relativeFrom="paragraph">
                        <wp:posOffset>1905</wp:posOffset>
                      </wp:positionV>
                      <wp:extent cx="255600" cy="266400"/>
                      <wp:effectExtent l="0" t="0" r="0" b="635"/>
                      <wp:wrapNone/>
                      <wp:docPr id="17" name="Oval 17"/>
                      <wp:cNvGraphicFramePr/>
                      <a:graphic xmlns:a="http://schemas.openxmlformats.org/drawingml/2006/main">
                        <a:graphicData uri="http://schemas.microsoft.com/office/word/2010/wordprocessingShape">
                          <wps:wsp>
                            <wps:cNvSpPr/>
                            <wps:spPr>
                              <a:xfrm>
                                <a:off x="0" y="0"/>
                                <a:ext cx="255600" cy="2664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194D1" w14:textId="33CAF9E7" w:rsidR="00037ED4" w:rsidRDefault="006F7021" w:rsidP="00037ED4">
                                  <w:pPr>
                                    <w:spacing w:before="0"/>
                                    <w:jc w:val="center"/>
                                  </w:pPr>
                                  <w:r>
                                    <w:rPr>
                                      <w:color w:val="000000" w:themeColor="text1"/>
                                      <w:sz w:val="18"/>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1851E" id="Oval 17" o:spid="_x0000_s1031" style="position:absolute;left:0;text-align:left;margin-left:-5.65pt;margin-top:.15pt;width:20.1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" fillcolor="#ffc000" stroked="f" strokeweight="1pt">
                      <v:stroke joinstyle="miter"/>
                      <v:textbox inset="0,0,0,0">
                        <w:txbxContent>
                          <w:p w14:paraId="7B9194D1" w14:textId="33CAF9E7" w:rsidR="00037ED4" w:rsidRDefault="006F7021" w:rsidP="00037ED4">
                            <w:pPr>
                              <w:spacing w:before="0"/>
                              <w:jc w:val="center"/>
                            </w:pPr>
                            <w:r>
                              <w:rPr>
                                <w:color w:val="000000" w:themeColor="text1"/>
                                <w:sz w:val="18"/>
                              </w:rPr>
                              <w:t>6</w:t>
                            </w:r>
                          </w:p>
                        </w:txbxContent>
                      </v:textbox>
                    </v:oval>
                  </w:pict>
                </mc:Fallback>
              </mc:AlternateContent>
            </w:r>
          </w:p>
        </w:tc>
        <w:tc>
          <w:tcPr>
            <w:tcW w:w="7269" w:type="dxa"/>
          </w:tcPr>
          <w:p w14:paraId="5EC45764" w14:textId="7DE563BA" w:rsidR="00504C43" w:rsidRPr="002F6D9E" w:rsidRDefault="00504C43" w:rsidP="00504C43">
            <w:pPr>
              <w:contextualSpacing/>
              <w:jc w:val="left"/>
              <w:rPr>
                <w:sz w:val="18"/>
                <w:szCs w:val="18"/>
              </w:rPr>
            </w:pPr>
            <w:r>
              <w:rPr>
                <w:sz w:val="18"/>
                <w:szCs w:val="18"/>
              </w:rPr>
              <w:t xml:space="preserve">Los costes del CCV se presentan en la sección C - </w:t>
            </w:r>
            <w:r>
              <w:rPr>
                <w:color w:val="FFFFFF" w:themeColor="background1"/>
                <w:sz w:val="18"/>
                <w:szCs w:val="18"/>
                <w:highlight w:val="black"/>
              </w:rPr>
              <w:t>recuadro negro</w:t>
            </w:r>
            <w:r>
              <w:rPr>
                <w:sz w:val="18"/>
                <w:szCs w:val="18"/>
              </w:rPr>
              <w:t xml:space="preserve"> - por categoría de coste; y por tipo de estancia o área del edificio, así como agregados para todo el edificio. </w:t>
            </w:r>
          </w:p>
          <w:p w14:paraId="2BFC69F8" w14:textId="119C01EB" w:rsidR="00504C43" w:rsidRPr="002F6D9E" w:rsidRDefault="00504C43" w:rsidP="00504C43">
            <w:pPr>
              <w:contextualSpacing/>
              <w:jc w:val="left"/>
              <w:rPr>
                <w:sz w:val="18"/>
                <w:szCs w:val="18"/>
              </w:rPr>
            </w:pPr>
            <w:r>
              <w:rPr>
                <w:sz w:val="18"/>
                <w:szCs w:val="18"/>
              </w:rPr>
              <w:t>Las fórmulas utilizadas para calcular los costes finales del ciclo de vida se explican en la pestaña «Definiciones y fórmulas» de la herramienta. La representación gráfica de los resultados se proporciona en la pestaña «</w:t>
            </w:r>
            <w:proofErr w:type="spellStart"/>
            <w:r>
              <w:rPr>
                <w:sz w:val="18"/>
                <w:szCs w:val="18"/>
              </w:rPr>
              <w:t>Resultados</w:t>
            </w:r>
            <w:r w:rsidR="00F836C5">
              <w:rPr>
                <w:sz w:val="18"/>
                <w:szCs w:val="18"/>
              </w:rPr>
              <w:t>_G</w:t>
            </w:r>
            <w:r>
              <w:rPr>
                <w:sz w:val="18"/>
                <w:szCs w:val="18"/>
              </w:rPr>
              <w:t>ráficos</w:t>
            </w:r>
            <w:proofErr w:type="spellEnd"/>
            <w:r>
              <w:rPr>
                <w:sz w:val="18"/>
                <w:szCs w:val="18"/>
              </w:rPr>
              <w:t>», en forma de un gráfico de barras que muestra la contribución de cada categoría a los resultados del CCV.</w:t>
            </w:r>
          </w:p>
          <w:p w14:paraId="3738EE3E" w14:textId="2D59742A" w:rsidR="00504C43" w:rsidRPr="00071D06" w:rsidRDefault="00504C43" w:rsidP="00504C43">
            <w:pPr>
              <w:contextualSpacing/>
              <w:jc w:val="left"/>
              <w:rPr>
                <w:sz w:val="10"/>
                <w:szCs w:val="10"/>
                <w:highlight w:val="yellow"/>
              </w:rPr>
            </w:pPr>
          </w:p>
        </w:tc>
        <w:tc>
          <w:tcPr>
            <w:tcW w:w="7087" w:type="dxa"/>
            <w:vMerge/>
          </w:tcPr>
          <w:p w14:paraId="1E18889B" w14:textId="77777777" w:rsidR="00504C43" w:rsidRDefault="00504C43" w:rsidP="00504C43"/>
        </w:tc>
      </w:tr>
      <w:tr w:rsidR="002F6D9E" w14:paraId="4D093846" w14:textId="77777777" w:rsidTr="00071D06">
        <w:tc>
          <w:tcPr>
            <w:tcW w:w="381" w:type="dxa"/>
          </w:tcPr>
          <w:p w14:paraId="064F60CF" w14:textId="37342B0A" w:rsidR="00504C43" w:rsidRDefault="00037ED4" w:rsidP="00504C43">
            <w:r>
              <w:rPr>
                <w:noProof/>
              </w:rPr>
              <mc:AlternateContent>
                <mc:Choice Requires="wps">
                  <w:drawing>
                    <wp:anchor distT="0" distB="0" distL="114300" distR="114300" simplePos="0" relativeHeight="251677696" behindDoc="0" locked="0" layoutInCell="1" allowOverlap="1" wp14:anchorId="6763E3F0" wp14:editId="6C0FD086">
                      <wp:simplePos x="0" y="0"/>
                      <wp:positionH relativeFrom="column">
                        <wp:posOffset>-71755</wp:posOffset>
                      </wp:positionH>
                      <wp:positionV relativeFrom="paragraph">
                        <wp:posOffset>4445</wp:posOffset>
                      </wp:positionV>
                      <wp:extent cx="255600" cy="266400"/>
                      <wp:effectExtent l="0" t="0" r="0" b="635"/>
                      <wp:wrapNone/>
                      <wp:docPr id="18" name="Oval 18"/>
                      <wp:cNvGraphicFramePr/>
                      <a:graphic xmlns:a="http://schemas.openxmlformats.org/drawingml/2006/main">
                        <a:graphicData uri="http://schemas.microsoft.com/office/word/2010/wordprocessingShape">
                          <wps:wsp>
                            <wps:cNvSpPr/>
                            <wps:spPr>
                              <a:xfrm>
                                <a:off x="0" y="0"/>
                                <a:ext cx="255600" cy="2664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DB7E5" w14:textId="502278B8" w:rsidR="00037ED4" w:rsidRDefault="006F7021" w:rsidP="00037ED4">
                                  <w:pPr>
                                    <w:spacing w:before="0"/>
                                    <w:jc w:val="center"/>
                                  </w:pPr>
                                  <w:r>
                                    <w:rPr>
                                      <w:color w:val="000000" w:themeColor="text1"/>
                                      <w:sz w:val="18"/>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3E3F0" id="Oval 18" o:spid="_x0000_s1032" style="position:absolute;left:0;text-align:left;margin-left:-5.65pt;margin-top:.35pt;width:20.1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" fillcolor="#ffc000" stroked="f" strokeweight="1pt">
                      <v:stroke joinstyle="miter"/>
                      <v:textbox inset="0,0,0,0">
                        <w:txbxContent>
                          <w:p w14:paraId="0BFDB7E5" w14:textId="502278B8" w:rsidR="00037ED4" w:rsidRDefault="006F7021" w:rsidP="00037ED4">
                            <w:pPr>
                              <w:spacing w:before="0"/>
                              <w:jc w:val="center"/>
                            </w:pPr>
                            <w:r>
                              <w:rPr>
                                <w:color w:val="000000" w:themeColor="text1"/>
                                <w:sz w:val="18"/>
                              </w:rPr>
                              <w:t>7</w:t>
                            </w:r>
                          </w:p>
                        </w:txbxContent>
                      </v:textbox>
                    </v:oval>
                  </w:pict>
                </mc:Fallback>
              </mc:AlternateContent>
            </w:r>
          </w:p>
        </w:tc>
        <w:tc>
          <w:tcPr>
            <w:tcW w:w="7269" w:type="dxa"/>
          </w:tcPr>
          <w:p w14:paraId="2E41A75D" w14:textId="3ACE0489" w:rsidR="00504C43" w:rsidRPr="005122ED" w:rsidRDefault="00AB34C4" w:rsidP="00AB34C4">
            <w:pPr>
              <w:contextualSpacing/>
              <w:jc w:val="left"/>
              <w:rPr>
                <w:sz w:val="18"/>
                <w:szCs w:val="18"/>
                <w:highlight w:val="yellow"/>
              </w:rPr>
            </w:pPr>
            <w:r>
              <w:rPr>
                <w:sz w:val="18"/>
                <w:szCs w:val="18"/>
              </w:rPr>
              <w:t>La herramienta también proporciona el consumo total de energía estimado y las emisiones de CO</w:t>
            </w:r>
            <w:r>
              <w:rPr>
                <w:sz w:val="18"/>
                <w:szCs w:val="18"/>
                <w:vertAlign w:val="subscript"/>
              </w:rPr>
              <w:t>2-eq</w:t>
            </w:r>
            <w:r>
              <w:rPr>
                <w:sz w:val="18"/>
                <w:szCs w:val="18"/>
              </w:rPr>
              <w:t xml:space="preserve"> de cada tipo de estancia o área del edificio y del edificio en su totalidad en el periodo de evaluación.</w:t>
            </w:r>
          </w:p>
        </w:tc>
        <w:tc>
          <w:tcPr>
            <w:tcW w:w="7087" w:type="dxa"/>
            <w:vMerge/>
          </w:tcPr>
          <w:p w14:paraId="27BE5D2C" w14:textId="77777777" w:rsidR="00504C43" w:rsidRDefault="00504C43" w:rsidP="00504C43"/>
        </w:tc>
      </w:tr>
    </w:tbl>
    <w:p w14:paraId="121F9D99" w14:textId="77777777" w:rsidR="00D1199C" w:rsidRPr="009B5718" w:rsidRDefault="00D1199C" w:rsidP="00D1199C">
      <w:pPr>
        <w:rPr>
          <w:sz w:val="2"/>
          <w:szCs w:val="2"/>
        </w:rPr>
      </w:pPr>
    </w:p>
    <w:p w14:paraId="6200EEF3" w14:textId="77777777" w:rsidR="00D1199C" w:rsidRPr="009B5718" w:rsidRDefault="00D1199C" w:rsidP="00227268">
      <w:pPr>
        <w:pStyle w:val="Ttulo1"/>
        <w:spacing w:before="0"/>
        <w:rPr>
          <w:sz w:val="2"/>
          <w:szCs w:val="2"/>
        </w:rPr>
        <w:sectPr w:rsidR="00D1199C" w:rsidRPr="009B5718" w:rsidSect="00DD206B">
          <w:headerReference w:type="default" r:id="rId35"/>
          <w:footerReference w:type="default" r:id="rId36"/>
          <w:pgSz w:w="16840" w:h="11907" w:orient="landscape" w:code="9"/>
          <w:pgMar w:top="1134" w:right="851" w:bottom="1134" w:left="1418" w:header="567" w:footer="567" w:gutter="0"/>
          <w:cols w:space="720"/>
        </w:sectPr>
      </w:pPr>
    </w:p>
    <w:p w14:paraId="58DBBE9C" w14:textId="634023CC" w:rsidR="00D1199C" w:rsidRPr="00492B4C" w:rsidRDefault="00D1199C" w:rsidP="00B535C1">
      <w:pPr>
        <w:pStyle w:val="Ttulo1"/>
        <w:pBdr>
          <w:bottom w:val="none" w:sz="0" w:space="0" w:color="auto"/>
        </w:pBdr>
        <w:spacing w:before="240"/>
      </w:pPr>
      <w:r>
        <w:lastRenderedPageBreak/>
        <w:t>III. Después del proceso de licitación</w:t>
      </w:r>
    </w:p>
    <w:p w14:paraId="012C5AD1" w14:textId="603DF23D" w:rsidR="00D1199C" w:rsidRPr="00492B4C" w:rsidRDefault="00D1199C" w:rsidP="00D1199C"/>
    <w:tbl>
      <w:tblPr>
        <w:tblW w:w="0" w:type="auto"/>
        <w:tblLook w:val="00A0" w:firstRow="1" w:lastRow="0" w:firstColumn="1" w:lastColumn="0" w:noHBand="0" w:noVBand="0"/>
      </w:tblPr>
      <w:tblGrid>
        <w:gridCol w:w="9639"/>
      </w:tblGrid>
      <w:tr w:rsidR="00D1199C" w:rsidRPr="00492B4C" w14:paraId="507C1A5A" w14:textId="77777777">
        <w:tc>
          <w:tcPr>
            <w:tcW w:w="9779" w:type="dxa"/>
          </w:tcPr>
          <w:p w14:paraId="1DA4A5DF" w14:textId="146EB919" w:rsidR="00D1199C" w:rsidRPr="00492B4C" w:rsidRDefault="00D1199C" w:rsidP="00D1199C">
            <w:pPr>
              <w:rPr>
                <w:color w:val="1D9E9E"/>
                <w:sz w:val="24"/>
              </w:rPr>
            </w:pPr>
            <w:r>
              <w:rPr>
                <w:color w:val="1D9E9E"/>
                <w:sz w:val="24"/>
              </w:rPr>
              <w:t>Supervisa el cumplimiento de los requisitos de licitación y los niveles de desempeño prometidos por el contratista, aplica sanciones o bonificaciones si corresponde, identificar lecciones para futuras licitaciones, comunica resultados para motivar la aceptación interna y la participación, y prom</w:t>
            </w:r>
            <w:r w:rsidR="0050668F">
              <w:rPr>
                <w:color w:val="1D9E9E"/>
                <w:sz w:val="24"/>
              </w:rPr>
              <w:t>ueve</w:t>
            </w:r>
            <w:r>
              <w:rPr>
                <w:color w:val="1D9E9E"/>
                <w:sz w:val="24"/>
              </w:rPr>
              <w:t xml:space="preserve"> la reproducción por parte de otras partes interesadas.</w:t>
            </w:r>
          </w:p>
        </w:tc>
      </w:tr>
    </w:tbl>
    <w:p w14:paraId="440BD8D5" w14:textId="26404848" w:rsidR="00D1199C" w:rsidRPr="00492B4C" w:rsidRDefault="00D1199C" w:rsidP="00D1199C"/>
    <w:p w14:paraId="699DCEE9" w14:textId="77777777" w:rsidR="00DD206B" w:rsidRDefault="00DD206B" w:rsidP="00D1199C">
      <w:pPr>
        <w:rPr>
          <w:color w:val="1D9E9E"/>
          <w:sz w:val="28"/>
        </w:rPr>
        <w:sectPr w:rsidR="00DD206B" w:rsidSect="00D64D4C">
          <w:headerReference w:type="default" r:id="rId37"/>
          <w:footerReference w:type="default" r:id="rId38"/>
          <w:pgSz w:w="11907" w:h="16840" w:code="9"/>
          <w:pgMar w:top="1418" w:right="1134" w:bottom="851" w:left="1134" w:header="567" w:footer="567" w:gutter="0"/>
          <w:cols w:space="720"/>
        </w:sectPr>
      </w:pPr>
    </w:p>
    <w:p w14:paraId="158A355A" w14:textId="61753C79" w:rsidR="00D1199C" w:rsidRPr="00492B4C" w:rsidRDefault="00D1199C" w:rsidP="00D1199C">
      <w:pPr>
        <w:rPr>
          <w:color w:val="1D9E9E"/>
          <w:sz w:val="28"/>
        </w:rPr>
      </w:pPr>
      <w:r>
        <w:rPr>
          <w:color w:val="1D9E9E"/>
          <w:sz w:val="28"/>
        </w:rPr>
        <w:t>Si el CCV era parte de la licitación</w:t>
      </w:r>
    </w:p>
    <w:p w14:paraId="722D8C98" w14:textId="687E1729" w:rsidR="00D1199C" w:rsidRPr="00071D06" w:rsidRDefault="00A65293" w:rsidP="00D1199C">
      <w:pPr>
        <w:rPr>
          <w:sz w:val="20"/>
          <w:szCs w:val="20"/>
        </w:rPr>
      </w:pPr>
      <w:r w:rsidRPr="00071D06">
        <w:rPr>
          <w:sz w:val="20"/>
          <w:szCs w:val="20"/>
        </w:rPr>
        <w:t xml:space="preserve">Es necesario asegurarse de que el contrato menciona explícitamente los niveles de rendimiento incluidos en la hoja </w:t>
      </w:r>
      <w:r w:rsidR="00F836C5">
        <w:rPr>
          <w:sz w:val="20"/>
          <w:szCs w:val="20"/>
        </w:rPr>
        <w:t>“</w:t>
      </w:r>
      <w:proofErr w:type="spellStart"/>
      <w:r w:rsidR="00F836C5">
        <w:rPr>
          <w:sz w:val="20"/>
          <w:szCs w:val="20"/>
        </w:rPr>
        <w:t>D</w:t>
      </w:r>
      <w:r w:rsidR="0050668F">
        <w:rPr>
          <w:sz w:val="20"/>
          <w:szCs w:val="20"/>
        </w:rPr>
        <w:t>ato</w:t>
      </w:r>
      <w:r w:rsidR="0050668F" w:rsidRPr="00071D06">
        <w:rPr>
          <w:sz w:val="20"/>
          <w:szCs w:val="20"/>
        </w:rPr>
        <w:t>s</w:t>
      </w:r>
      <w:r w:rsidR="00F836C5">
        <w:rPr>
          <w:sz w:val="20"/>
          <w:szCs w:val="20"/>
        </w:rPr>
        <w:t>_L</w:t>
      </w:r>
      <w:r w:rsidRPr="00071D06">
        <w:rPr>
          <w:sz w:val="20"/>
          <w:szCs w:val="20"/>
        </w:rPr>
        <w:t>icitador</w:t>
      </w:r>
      <w:proofErr w:type="spellEnd"/>
      <w:r w:rsidR="00F836C5">
        <w:rPr>
          <w:sz w:val="20"/>
          <w:szCs w:val="20"/>
        </w:rPr>
        <w:t>”</w:t>
      </w:r>
      <w:r w:rsidRPr="00071D06">
        <w:rPr>
          <w:sz w:val="20"/>
          <w:szCs w:val="20"/>
        </w:rPr>
        <w:t xml:space="preserve"> como parte de las condiciones. Supervise el desempeño durante la gestión del contrato para garantizar el cumplimiento de las reclamaciones hechas por los contratistas, por ejemplo, en relación con la frecuencia y los costes de mantenimiento o con respecto a la eficiencia energética de los equipos verificándolos de acuerdo con el estándar definido en las especificaciones de la licitación, y apli</w:t>
      </w:r>
      <w:r w:rsidR="0050668F">
        <w:rPr>
          <w:sz w:val="20"/>
          <w:szCs w:val="20"/>
        </w:rPr>
        <w:t>ca</w:t>
      </w:r>
      <w:r w:rsidRPr="00071D06">
        <w:rPr>
          <w:sz w:val="20"/>
          <w:szCs w:val="20"/>
        </w:rPr>
        <w:t xml:space="preserve"> sanciones en caso de incumplimiento.</w:t>
      </w:r>
    </w:p>
    <w:p w14:paraId="58778752" w14:textId="419489EC" w:rsidR="00D1199C" w:rsidRPr="00071D06" w:rsidRDefault="00D1199C" w:rsidP="00D1199C">
      <w:pPr>
        <w:rPr>
          <w:sz w:val="20"/>
          <w:szCs w:val="20"/>
        </w:rPr>
      </w:pPr>
      <w:r w:rsidRPr="00071D06">
        <w:rPr>
          <w:sz w:val="20"/>
          <w:szCs w:val="20"/>
        </w:rPr>
        <w:t>Esta etapa sirve para registrar información relevante para la próxima licitación (por ejemplo, si hubo suficiente competencia, si los licitadores proporcionaron toda la información relevante de la manera apropiada, etc.). Esto permitirá mejorar los resultados en futuras licitaciones similares.</w:t>
      </w:r>
    </w:p>
    <w:p w14:paraId="7C8F4866" w14:textId="77777777" w:rsidR="00D1199C" w:rsidRPr="00492B4C" w:rsidRDefault="00D1199C" w:rsidP="00D1199C"/>
    <w:p w14:paraId="1FD97BAD" w14:textId="580E486C" w:rsidR="00D1199C" w:rsidRPr="00492B4C" w:rsidRDefault="00D1199C" w:rsidP="00D1199C">
      <w:pPr>
        <w:pStyle w:val="Ttulo3"/>
      </w:pPr>
      <w:r>
        <w:t>Si el CCV no era parte de la licitación</w:t>
      </w:r>
    </w:p>
    <w:p w14:paraId="756A50D2" w14:textId="40B542D9" w:rsidR="00D1199C" w:rsidRPr="00071D06" w:rsidRDefault="00D1199C" w:rsidP="00D1199C">
      <w:pPr>
        <w:rPr>
          <w:sz w:val="20"/>
          <w:szCs w:val="20"/>
        </w:rPr>
      </w:pPr>
      <w:r w:rsidRPr="00071D06">
        <w:rPr>
          <w:sz w:val="20"/>
          <w:szCs w:val="20"/>
        </w:rPr>
        <w:t>Si no se usó el CCV durante el proceso de licitación, pero se solicitó información para todos los parámetros relevantes (especialmente relacionados con los costes de operación y servicio), conviene usar la herramienta CCV para calcular los costes del ciclo de vida de las diferentes ofertas, incluida la adjudicada, y comparar entre ellos y con la situación actual, si los datos se identificaron en la etapa preparatoria. Esto ayudará a desarrollar una línea de base de datos para informar la gestión de contratos y futuras licitaciones.</w:t>
      </w:r>
    </w:p>
    <w:p w14:paraId="0AAB723E" w14:textId="04D24412" w:rsidR="00D1199C" w:rsidRDefault="00D1199C" w:rsidP="00D1199C"/>
    <w:p w14:paraId="118A13B9" w14:textId="77777777" w:rsidR="005B65CD" w:rsidRPr="00492B4C" w:rsidRDefault="005B65CD" w:rsidP="00D1199C"/>
    <w:p w14:paraId="6E4A6201" w14:textId="77777777" w:rsidR="00D1199C" w:rsidRPr="00492B4C" w:rsidRDefault="00D1199C" w:rsidP="00D1199C">
      <w:pPr>
        <w:pStyle w:val="Ttulo3"/>
      </w:pPr>
      <w:r>
        <w:t>Comunicar resultados</w:t>
      </w:r>
    </w:p>
    <w:p w14:paraId="369EA405" w14:textId="150E8C0C" w:rsidR="00D1199C" w:rsidRPr="00071D06" w:rsidRDefault="00D1199C" w:rsidP="00D1199C">
      <w:pPr>
        <w:rPr>
          <w:sz w:val="20"/>
          <w:szCs w:val="20"/>
        </w:rPr>
      </w:pPr>
      <w:r w:rsidRPr="00071D06">
        <w:rPr>
          <w:sz w:val="20"/>
          <w:szCs w:val="20"/>
        </w:rPr>
        <w:t xml:space="preserve">Toda esta información debe utilizarse para comunicar resultados y planificar medidas para futuras licitaciones. Esto es especialmente importante si ha cambiado el tipo de productos adquiridos y los resultados pueden ayudar a motivar la aceptación, la participación y a obtener mejoras adicionales. </w:t>
      </w:r>
    </w:p>
    <w:p w14:paraId="7BCD25E0" w14:textId="77777777" w:rsidR="0050668F" w:rsidRPr="00865BCB" w:rsidRDefault="00D1199C" w:rsidP="0050668F">
      <w:pPr>
        <w:rPr>
          <w:sz w:val="20"/>
          <w:szCs w:val="20"/>
        </w:rPr>
      </w:pPr>
      <w:r w:rsidRPr="00071D06">
        <w:rPr>
          <w:sz w:val="20"/>
          <w:szCs w:val="20"/>
        </w:rPr>
        <w:t xml:space="preserve">Si es </w:t>
      </w:r>
      <w:r w:rsidRPr="00865BCB">
        <w:rPr>
          <w:sz w:val="20"/>
          <w:szCs w:val="20"/>
        </w:rPr>
        <w:t xml:space="preserve">posible, conviene compartir la experiencia (éxitos, inconvenientes y lecciones) con otras autoridades para fomentar la replicación. </w:t>
      </w:r>
      <w:r w:rsidR="0050668F" w:rsidRPr="00865BCB">
        <w:rPr>
          <w:sz w:val="20"/>
          <w:szCs w:val="20"/>
        </w:rPr>
        <w:t xml:space="preserve">Una forma de compartir resultados es a través de las </w:t>
      </w:r>
      <w:hyperlink r:id="rId39" w:anchor="buenas-practicas" w:history="1">
        <w:r w:rsidR="0050668F" w:rsidRPr="00865BCB">
          <w:rPr>
            <w:rStyle w:val="Hipervnculo"/>
            <w:sz w:val="20"/>
            <w:szCs w:val="20"/>
          </w:rPr>
          <w:t>buenas prácticas de compra Pública Verde</w:t>
        </w:r>
      </w:hyperlink>
      <w:r w:rsidR="0050668F" w:rsidRPr="00865BCB">
        <w:rPr>
          <w:sz w:val="20"/>
          <w:szCs w:val="20"/>
        </w:rPr>
        <w:t xml:space="preserve"> publicadas por Ihobe regularmente. En el ámbito europeo esto se puede hacer es a través de la colección de </w:t>
      </w:r>
      <w:hyperlink r:id="rId40" w:history="1">
        <w:r w:rsidR="0050668F" w:rsidRPr="00865BCB">
          <w:rPr>
            <w:rStyle w:val="Hipervnculo"/>
            <w:sz w:val="20"/>
            <w:szCs w:val="20"/>
          </w:rPr>
          <w:t>buenas prácticas de Compra Pública Verde</w:t>
        </w:r>
      </w:hyperlink>
      <w:r w:rsidR="0050668F" w:rsidRPr="00865BCB">
        <w:rPr>
          <w:sz w:val="20"/>
          <w:szCs w:val="20"/>
        </w:rPr>
        <w:t xml:space="preserve"> de la Comisión Europea, publicadas con regularidad en la </w:t>
      </w:r>
      <w:hyperlink r:id="rId41" w:history="1">
        <w:r w:rsidR="0050668F" w:rsidRPr="00865BCB">
          <w:rPr>
            <w:rStyle w:val="Hipervnculo"/>
            <w:sz w:val="20"/>
            <w:szCs w:val="20"/>
          </w:rPr>
          <w:t>alerta de noticias en materia de compra verde</w:t>
        </w:r>
      </w:hyperlink>
      <w:r w:rsidR="0050668F" w:rsidRPr="00865BCB">
        <w:rPr>
          <w:sz w:val="20"/>
          <w:szCs w:val="20"/>
        </w:rPr>
        <w:t xml:space="preserve"> de la CE</w:t>
      </w:r>
    </w:p>
    <w:p w14:paraId="2D4195B1" w14:textId="0A7B0B94" w:rsidR="00C26DDE" w:rsidRDefault="00C26DDE" w:rsidP="00D1199C"/>
    <w:p w14:paraId="788FC944" w14:textId="2D77E6E9" w:rsidR="003B6C3B" w:rsidRDefault="00276E89" w:rsidP="00D1199C">
      <w:r>
        <w:rPr>
          <w:noProof/>
        </w:rPr>
        <w:drawing>
          <wp:anchor distT="0" distB="0" distL="114300" distR="114300" simplePos="0" relativeHeight="251683840" behindDoc="1" locked="0" layoutInCell="1" allowOverlap="1" wp14:anchorId="05241979" wp14:editId="0D5756D5">
            <wp:simplePos x="0" y="0"/>
            <wp:positionH relativeFrom="column">
              <wp:posOffset>1258680</wp:posOffset>
            </wp:positionH>
            <wp:positionV relativeFrom="paragraph">
              <wp:posOffset>112943</wp:posOffset>
            </wp:positionV>
            <wp:extent cx="1183398" cy="1676503"/>
            <wp:effectExtent l="88900" t="63500" r="86995" b="635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11-27 at 09.53.00.png"/>
                    <pic:cNvPicPr/>
                  </pic:nvPicPr>
                  <pic:blipFill>
                    <a:blip r:embed="rId42"/>
                    <a:stretch>
                      <a:fillRect/>
                    </a:stretch>
                  </pic:blipFill>
                  <pic:spPr>
                    <a:xfrm rot="304945">
                      <a:off x="0" y="0"/>
                      <a:ext cx="1183398" cy="1676503"/>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463FA53E" w14:textId="5692977C" w:rsidR="00425960" w:rsidRPr="00492B4C" w:rsidRDefault="00276E89" w:rsidP="00D1199C">
      <w:r>
        <w:rPr>
          <w:noProof/>
        </w:rPr>
        <w:drawing>
          <wp:anchor distT="0" distB="0" distL="114300" distR="114300" simplePos="0" relativeHeight="251682816" behindDoc="0" locked="0" layoutInCell="1" allowOverlap="1" wp14:anchorId="73A9289B" wp14:editId="5D280C7A">
            <wp:simplePos x="0" y="0"/>
            <wp:positionH relativeFrom="column">
              <wp:posOffset>521970</wp:posOffset>
            </wp:positionH>
            <wp:positionV relativeFrom="paragraph">
              <wp:posOffset>555449</wp:posOffset>
            </wp:positionV>
            <wp:extent cx="1269365" cy="1805305"/>
            <wp:effectExtent l="177800" t="127000" r="165735" b="12509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1-27 at 09.49.05.png"/>
                    <pic:cNvPicPr/>
                  </pic:nvPicPr>
                  <pic:blipFill>
                    <a:blip r:embed="rId43"/>
                    <a:stretch>
                      <a:fillRect/>
                    </a:stretch>
                  </pic:blipFill>
                  <pic:spPr>
                    <a:xfrm rot="20963315">
                      <a:off x="0" y="0"/>
                      <a:ext cx="1269365" cy="18053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6534BD1B" w14:textId="3F1BF2E6" w:rsidR="00D1199C" w:rsidRDefault="00D1199C" w:rsidP="00D1199C"/>
    <w:p w14:paraId="2E422CDC" w14:textId="3BBFBC74" w:rsidR="00276E89" w:rsidRDefault="00276E89" w:rsidP="00D1199C"/>
    <w:p w14:paraId="45AD8163" w14:textId="2C49853D" w:rsidR="00276E89" w:rsidRDefault="00276E89" w:rsidP="00D1199C"/>
    <w:p w14:paraId="1B893992" w14:textId="77777777" w:rsidR="00276E89" w:rsidRPr="00492B4C" w:rsidRDefault="00276E89" w:rsidP="00D1199C"/>
    <w:p w14:paraId="388D53A9" w14:textId="77777777" w:rsidR="00DD206B" w:rsidRDefault="00DD206B" w:rsidP="00D1199C">
      <w:pPr>
        <w:pStyle w:val="Ttulo1"/>
        <w:sectPr w:rsidR="00DD206B" w:rsidSect="00DD206B">
          <w:type w:val="continuous"/>
          <w:pgSz w:w="11907" w:h="16840" w:code="9"/>
          <w:pgMar w:top="1418" w:right="1134" w:bottom="851" w:left="1134" w:header="567" w:footer="567" w:gutter="0"/>
          <w:cols w:num="2" w:space="720"/>
        </w:sectPr>
      </w:pPr>
    </w:p>
    <w:p w14:paraId="4AB76C4D" w14:textId="77777777" w:rsidR="00DD206B" w:rsidRDefault="00DD206B" w:rsidP="00D1199C">
      <w:pPr>
        <w:pStyle w:val="Ttulo1"/>
        <w:sectPr w:rsidR="00DD206B" w:rsidSect="00DD206B">
          <w:type w:val="continuous"/>
          <w:pgSz w:w="11907" w:h="16840" w:code="9"/>
          <w:pgMar w:top="1418" w:right="1134" w:bottom="851" w:left="1134" w:header="567" w:footer="567" w:gutter="0"/>
          <w:cols w:space="720"/>
        </w:sectPr>
      </w:pPr>
    </w:p>
    <w:p w14:paraId="3347B4A3" w14:textId="20CF45D9" w:rsidR="00D1199C" w:rsidRPr="00492B4C" w:rsidRDefault="00D1199C" w:rsidP="00B535C1">
      <w:pPr>
        <w:pStyle w:val="Ttulo1"/>
        <w:pBdr>
          <w:bottom w:val="none" w:sz="0" w:space="0" w:color="auto"/>
        </w:pBdr>
        <w:spacing w:before="240"/>
      </w:pPr>
      <w:r>
        <w:lastRenderedPageBreak/>
        <w:t>Antecedentes y agradecimientos</w:t>
      </w:r>
    </w:p>
    <w:p w14:paraId="6CE9F35D" w14:textId="77777777" w:rsidR="00A8265A" w:rsidRDefault="00A8265A" w:rsidP="00D1199C"/>
    <w:p w14:paraId="3523DC0B" w14:textId="77777777" w:rsidR="00A75655" w:rsidRDefault="00A75655" w:rsidP="00D1199C">
      <w:pPr>
        <w:sectPr w:rsidR="00A75655" w:rsidSect="00DD206B">
          <w:headerReference w:type="default" r:id="rId44"/>
          <w:pgSz w:w="11907" w:h="16840" w:code="9"/>
          <w:pgMar w:top="1418" w:right="1134" w:bottom="851" w:left="1134" w:header="567" w:footer="567" w:gutter="0"/>
          <w:cols w:space="720"/>
        </w:sectPr>
      </w:pPr>
    </w:p>
    <w:p w14:paraId="7EA1D1C6" w14:textId="5212C531" w:rsidR="00D1199C" w:rsidRPr="00865BCB" w:rsidRDefault="00D1199C" w:rsidP="00D1199C">
      <w:pPr>
        <w:rPr>
          <w:sz w:val="20"/>
          <w:szCs w:val="20"/>
        </w:rPr>
      </w:pPr>
      <w:r w:rsidRPr="00865BCB">
        <w:rPr>
          <w:sz w:val="20"/>
          <w:szCs w:val="20"/>
        </w:rPr>
        <w:t xml:space="preserve">Esta guía ha sido elaborada para la Comisión Europea por </w:t>
      </w:r>
      <w:proofErr w:type="spellStart"/>
      <w:r w:rsidRPr="00865BCB">
        <w:rPr>
          <w:sz w:val="20"/>
          <w:szCs w:val="20"/>
        </w:rPr>
        <w:t>Ecoinstitut</w:t>
      </w:r>
      <w:proofErr w:type="spellEnd"/>
      <w:r w:rsidRPr="00865BCB">
        <w:rPr>
          <w:sz w:val="20"/>
          <w:szCs w:val="20"/>
        </w:rPr>
        <w:t xml:space="preserve"> SCCL e ICLEI - Gobiernos Locales por la Sostenibilidad, con el apoyo de </w:t>
      </w:r>
      <w:proofErr w:type="spellStart"/>
      <w:r w:rsidRPr="00865BCB">
        <w:rPr>
          <w:sz w:val="20"/>
          <w:szCs w:val="20"/>
        </w:rPr>
        <w:t>Public</w:t>
      </w:r>
      <w:proofErr w:type="spellEnd"/>
      <w:r w:rsidRPr="00865BCB">
        <w:rPr>
          <w:sz w:val="20"/>
          <w:szCs w:val="20"/>
        </w:rPr>
        <w:t xml:space="preserve"> </w:t>
      </w:r>
      <w:proofErr w:type="spellStart"/>
      <w:r w:rsidRPr="00865BCB">
        <w:rPr>
          <w:sz w:val="20"/>
          <w:szCs w:val="20"/>
        </w:rPr>
        <w:t>Procurement</w:t>
      </w:r>
      <w:proofErr w:type="spellEnd"/>
      <w:r w:rsidRPr="00865BCB">
        <w:rPr>
          <w:sz w:val="20"/>
          <w:szCs w:val="20"/>
        </w:rPr>
        <w:t xml:space="preserve"> </w:t>
      </w:r>
      <w:proofErr w:type="spellStart"/>
      <w:r w:rsidRPr="00865BCB">
        <w:rPr>
          <w:sz w:val="20"/>
          <w:szCs w:val="20"/>
        </w:rPr>
        <w:t>Analysis</w:t>
      </w:r>
      <w:proofErr w:type="spellEnd"/>
      <w:r w:rsidRPr="00865BCB">
        <w:rPr>
          <w:sz w:val="20"/>
          <w:szCs w:val="20"/>
        </w:rPr>
        <w:t xml:space="preserve"> (PPA) y A. </w:t>
      </w:r>
      <w:proofErr w:type="spellStart"/>
      <w:r w:rsidRPr="00865BCB">
        <w:rPr>
          <w:sz w:val="20"/>
          <w:szCs w:val="20"/>
        </w:rPr>
        <w:t>Geuder</w:t>
      </w:r>
      <w:proofErr w:type="spellEnd"/>
      <w:r w:rsidRPr="00865BCB">
        <w:rPr>
          <w:sz w:val="20"/>
          <w:szCs w:val="20"/>
        </w:rPr>
        <w:t xml:space="preserve">, en virtud del Contrato </w:t>
      </w:r>
      <w:proofErr w:type="spellStart"/>
      <w:r w:rsidRPr="00865BCB">
        <w:rPr>
          <w:sz w:val="20"/>
          <w:szCs w:val="20"/>
        </w:rPr>
        <w:t>Nº</w:t>
      </w:r>
      <w:proofErr w:type="spellEnd"/>
      <w:r w:rsidRPr="00865BCB">
        <w:rPr>
          <w:sz w:val="20"/>
          <w:szCs w:val="20"/>
        </w:rPr>
        <w:t xml:space="preserve"> 07.0201/2017/767625/SER/ENV.B.1.</w:t>
      </w:r>
    </w:p>
    <w:p w14:paraId="2B653949" w14:textId="590CF133" w:rsidR="00AC62BA" w:rsidRDefault="00865BCB" w:rsidP="00AC62BA">
      <w:pPr>
        <w:spacing w:after="120"/>
        <w:rPr>
          <w:sz w:val="20"/>
          <w:szCs w:val="20"/>
        </w:rPr>
      </w:pPr>
      <w:r w:rsidRPr="00865BCB">
        <w:rPr>
          <w:sz w:val="20"/>
          <w:szCs w:val="20"/>
        </w:rPr>
        <w:t>Esta guía ha sido publicada inicialmente en inglés por la Comisión Europea con el título "</w:t>
      </w:r>
      <w:proofErr w:type="spellStart"/>
      <w:r w:rsidRPr="00865BCB">
        <w:rPr>
          <w:sz w:val="20"/>
          <w:szCs w:val="20"/>
        </w:rPr>
        <w:t>User</w:t>
      </w:r>
      <w:proofErr w:type="spellEnd"/>
      <w:r w:rsidRPr="00865BCB">
        <w:rPr>
          <w:sz w:val="20"/>
          <w:szCs w:val="20"/>
        </w:rPr>
        <w:t xml:space="preserve"> </w:t>
      </w:r>
      <w:proofErr w:type="spellStart"/>
      <w:r w:rsidRPr="00865BCB">
        <w:rPr>
          <w:sz w:val="20"/>
          <w:szCs w:val="20"/>
        </w:rPr>
        <w:t>Guide</w:t>
      </w:r>
      <w:proofErr w:type="spellEnd"/>
      <w:r w:rsidRPr="00865BCB">
        <w:rPr>
          <w:sz w:val="20"/>
          <w:szCs w:val="20"/>
        </w:rPr>
        <w:t xml:space="preserve"> </w:t>
      </w:r>
      <w:proofErr w:type="spellStart"/>
      <w:r w:rsidRPr="00865BCB">
        <w:rPr>
          <w:sz w:val="20"/>
          <w:szCs w:val="20"/>
        </w:rPr>
        <w:t>to</w:t>
      </w:r>
      <w:proofErr w:type="spellEnd"/>
      <w:r w:rsidRPr="00865BCB">
        <w:rPr>
          <w:sz w:val="20"/>
          <w:szCs w:val="20"/>
        </w:rPr>
        <w:t xml:space="preserve"> </w:t>
      </w:r>
      <w:proofErr w:type="spellStart"/>
      <w:r w:rsidRPr="00865BCB">
        <w:rPr>
          <w:sz w:val="20"/>
          <w:szCs w:val="20"/>
        </w:rPr>
        <w:t>the</w:t>
      </w:r>
      <w:proofErr w:type="spellEnd"/>
      <w:r w:rsidRPr="00865BCB">
        <w:rPr>
          <w:sz w:val="20"/>
          <w:szCs w:val="20"/>
        </w:rPr>
        <w:t xml:space="preserve"> </w:t>
      </w:r>
      <w:proofErr w:type="spellStart"/>
      <w:r w:rsidRPr="00865BCB">
        <w:rPr>
          <w:sz w:val="20"/>
          <w:szCs w:val="20"/>
        </w:rPr>
        <w:t>Life</w:t>
      </w:r>
      <w:proofErr w:type="spellEnd"/>
      <w:r w:rsidRPr="00865BCB">
        <w:rPr>
          <w:sz w:val="20"/>
          <w:szCs w:val="20"/>
        </w:rPr>
        <w:t xml:space="preserve"> </w:t>
      </w:r>
      <w:proofErr w:type="spellStart"/>
      <w:r w:rsidRPr="00865BCB">
        <w:rPr>
          <w:sz w:val="20"/>
          <w:szCs w:val="20"/>
        </w:rPr>
        <w:t>Cycle</w:t>
      </w:r>
      <w:proofErr w:type="spellEnd"/>
      <w:r w:rsidRPr="00865BCB">
        <w:rPr>
          <w:sz w:val="20"/>
          <w:szCs w:val="20"/>
        </w:rPr>
        <w:t xml:space="preserve"> </w:t>
      </w:r>
      <w:proofErr w:type="spellStart"/>
      <w:r w:rsidRPr="00865BCB">
        <w:rPr>
          <w:sz w:val="20"/>
          <w:szCs w:val="20"/>
        </w:rPr>
        <w:t>Costing</w:t>
      </w:r>
      <w:proofErr w:type="spellEnd"/>
      <w:r w:rsidRPr="00865BCB">
        <w:rPr>
          <w:sz w:val="20"/>
          <w:szCs w:val="20"/>
        </w:rPr>
        <w:t xml:space="preserve"> Tool </w:t>
      </w:r>
      <w:proofErr w:type="spellStart"/>
      <w:r w:rsidR="00EE1D8E" w:rsidRPr="00EE1D8E">
        <w:rPr>
          <w:sz w:val="20"/>
          <w:szCs w:val="20"/>
        </w:rPr>
        <w:t>for</w:t>
      </w:r>
      <w:proofErr w:type="spellEnd"/>
      <w:r w:rsidR="00EE1D8E" w:rsidRPr="00EE1D8E">
        <w:rPr>
          <w:sz w:val="20"/>
          <w:szCs w:val="20"/>
        </w:rPr>
        <w:t xml:space="preserve"> Green </w:t>
      </w:r>
      <w:proofErr w:type="spellStart"/>
      <w:r w:rsidR="00EE1D8E" w:rsidRPr="00EE1D8E">
        <w:rPr>
          <w:sz w:val="20"/>
          <w:szCs w:val="20"/>
        </w:rPr>
        <w:t>Public</w:t>
      </w:r>
      <w:proofErr w:type="spellEnd"/>
      <w:r w:rsidR="00EE1D8E" w:rsidRPr="00EE1D8E">
        <w:rPr>
          <w:sz w:val="20"/>
          <w:szCs w:val="20"/>
        </w:rPr>
        <w:t xml:space="preserve"> </w:t>
      </w:r>
      <w:proofErr w:type="spellStart"/>
      <w:r w:rsidR="00EE1D8E" w:rsidRPr="00EE1D8E">
        <w:rPr>
          <w:sz w:val="20"/>
          <w:szCs w:val="20"/>
        </w:rPr>
        <w:t>Procurement</w:t>
      </w:r>
      <w:proofErr w:type="spellEnd"/>
      <w:r w:rsidR="00EE1D8E" w:rsidRPr="00EE1D8E">
        <w:rPr>
          <w:sz w:val="20"/>
          <w:szCs w:val="20"/>
        </w:rPr>
        <w:t xml:space="preserve"> </w:t>
      </w:r>
      <w:proofErr w:type="spellStart"/>
      <w:r w:rsidR="00EE1D8E" w:rsidRPr="00EE1D8E">
        <w:rPr>
          <w:sz w:val="20"/>
          <w:szCs w:val="20"/>
        </w:rPr>
        <w:t>of</w:t>
      </w:r>
      <w:proofErr w:type="spellEnd"/>
      <w:r w:rsidR="00EE1D8E" w:rsidRPr="00EE1D8E">
        <w:rPr>
          <w:sz w:val="20"/>
          <w:szCs w:val="20"/>
        </w:rPr>
        <w:t xml:space="preserve"> </w:t>
      </w:r>
      <w:proofErr w:type="spellStart"/>
      <w:r w:rsidR="00EE1D8E" w:rsidRPr="00EE1D8E">
        <w:rPr>
          <w:sz w:val="20"/>
          <w:szCs w:val="20"/>
        </w:rPr>
        <w:t>Indoor</w:t>
      </w:r>
      <w:proofErr w:type="spellEnd"/>
      <w:r w:rsidR="00EE1D8E" w:rsidRPr="00EE1D8E">
        <w:rPr>
          <w:sz w:val="20"/>
          <w:szCs w:val="20"/>
        </w:rPr>
        <w:t xml:space="preserve"> </w:t>
      </w:r>
      <w:proofErr w:type="spellStart"/>
      <w:r w:rsidR="00EE1D8E" w:rsidRPr="00EE1D8E">
        <w:rPr>
          <w:sz w:val="20"/>
          <w:szCs w:val="20"/>
        </w:rPr>
        <w:t>Lighting</w:t>
      </w:r>
      <w:proofErr w:type="spellEnd"/>
      <w:r w:rsidRPr="00865BCB">
        <w:rPr>
          <w:sz w:val="20"/>
          <w:szCs w:val="20"/>
        </w:rPr>
        <w:t xml:space="preserve">" (en la web oficial de la Unión Europea: </w:t>
      </w:r>
      <w:hyperlink r:id="rId45" w:history="1">
        <w:r w:rsidRPr="00EE1D8E">
          <w:rPr>
            <w:rStyle w:val="Hipervnculo"/>
            <w:sz w:val="20"/>
            <w:szCs w:val="20"/>
          </w:rPr>
          <w:t>https://ec.europa.eu/environment/gpp/lcc.htm</w:t>
        </w:r>
      </w:hyperlink>
      <w:r w:rsidRPr="00865BCB">
        <w:rPr>
          <w:sz w:val="20"/>
          <w:szCs w:val="20"/>
        </w:rPr>
        <w:t>) © Unión Europea, 2019</w:t>
      </w:r>
    </w:p>
    <w:p w14:paraId="5F388608" w14:textId="6553662E" w:rsidR="00865BCB" w:rsidRPr="00865BCB" w:rsidRDefault="00865BCB" w:rsidP="00AC62BA">
      <w:pPr>
        <w:spacing w:after="120"/>
        <w:rPr>
          <w:sz w:val="20"/>
          <w:szCs w:val="20"/>
        </w:rPr>
      </w:pPr>
      <w:r w:rsidRPr="00865BCB">
        <w:rPr>
          <w:sz w:val="20"/>
          <w:szCs w:val="20"/>
        </w:rPr>
        <w:t xml:space="preserve">La adaptación y traducción </w:t>
      </w:r>
      <w:proofErr w:type="spellStart"/>
      <w:r w:rsidRPr="00865BCB">
        <w:rPr>
          <w:sz w:val="20"/>
          <w:szCs w:val="20"/>
        </w:rPr>
        <w:t>a</w:t>
      </w:r>
      <w:proofErr w:type="spellEnd"/>
      <w:r w:rsidRPr="00865BCB">
        <w:rPr>
          <w:sz w:val="20"/>
          <w:szCs w:val="20"/>
        </w:rPr>
        <w:t xml:space="preserve"> castellano y euskera ha sido realizada por: © Ihobe, Ihobe, Sociedad Pública de Gestión Ambiental Departamento de Desarrollo Económico, Sostenibilidad y Medio Ambiente del Gobierno Vasco, 2020.</w:t>
      </w:r>
    </w:p>
    <w:p w14:paraId="167AD19A" w14:textId="5103AD8F" w:rsidR="00865BCB" w:rsidRPr="00865BCB" w:rsidRDefault="00865BCB" w:rsidP="00865BCB">
      <w:pPr>
        <w:rPr>
          <w:sz w:val="20"/>
          <w:szCs w:val="20"/>
        </w:rPr>
      </w:pPr>
      <w:r w:rsidRPr="00865BCB">
        <w:rPr>
          <w:sz w:val="20"/>
          <w:szCs w:val="20"/>
        </w:rPr>
        <w:t>La responsabilidad de la versión en castellano y euskera recae completamente en Ihobe.</w:t>
      </w:r>
    </w:p>
    <w:p w14:paraId="60BA4E1E" w14:textId="77777777" w:rsidR="00D1199C" w:rsidRPr="00071D06" w:rsidRDefault="00D1199C" w:rsidP="00D1199C">
      <w:pPr>
        <w:rPr>
          <w:sz w:val="20"/>
          <w:szCs w:val="20"/>
        </w:rPr>
      </w:pPr>
      <w:r w:rsidRPr="00071D06">
        <w:rPr>
          <w:sz w:val="20"/>
          <w:szCs w:val="20"/>
        </w:rPr>
        <w:t xml:space="preserve">Como se establece en la Comunicación «Contratación pública para un medio ambiente mejor» (2008), la Comisión Europea está alentando a las </w:t>
      </w:r>
      <w:proofErr w:type="gramStart"/>
      <w:r w:rsidRPr="00071D06">
        <w:rPr>
          <w:sz w:val="20"/>
          <w:szCs w:val="20"/>
        </w:rPr>
        <w:t>autoridades públicas</w:t>
      </w:r>
      <w:proofErr w:type="gramEnd"/>
      <w:r w:rsidRPr="00071D06">
        <w:rPr>
          <w:sz w:val="20"/>
          <w:szCs w:val="20"/>
        </w:rPr>
        <w:t xml:space="preserve"> a que sus decisiones de compra sean más respetuosas con el medio ambiente. En este contexto, el coste del ciclo de vida se considera una herramienta útil que podría generar ahorros financieros, así como reducciones en el impacto ambiental de las compras realizadas por las </w:t>
      </w:r>
      <w:proofErr w:type="gramStart"/>
      <w:r w:rsidRPr="00071D06">
        <w:rPr>
          <w:sz w:val="20"/>
          <w:szCs w:val="20"/>
        </w:rPr>
        <w:t>autoridades públicas</w:t>
      </w:r>
      <w:proofErr w:type="gramEnd"/>
      <w:r w:rsidRPr="00071D06">
        <w:rPr>
          <w:sz w:val="20"/>
          <w:szCs w:val="20"/>
        </w:rPr>
        <w:t>.</w:t>
      </w:r>
    </w:p>
    <w:p w14:paraId="07F631F1" w14:textId="4E4BCD11" w:rsidR="003F4486" w:rsidRPr="00071D06" w:rsidRDefault="00D1199C" w:rsidP="00D1199C">
      <w:pPr>
        <w:rPr>
          <w:sz w:val="20"/>
          <w:szCs w:val="20"/>
        </w:rPr>
      </w:pPr>
      <w:r w:rsidRPr="00071D06">
        <w:rPr>
          <w:sz w:val="20"/>
          <w:szCs w:val="20"/>
        </w:rPr>
        <w:t xml:space="preserve">La Comisión Europea quisiera facilitar el uso generalizado del CCV proporcionando herramientas que puedan ayudar a su aplicación entre las </w:t>
      </w:r>
      <w:proofErr w:type="gramStart"/>
      <w:r w:rsidRPr="00071D06">
        <w:rPr>
          <w:sz w:val="20"/>
          <w:szCs w:val="20"/>
        </w:rPr>
        <w:t>autoridades públicas</w:t>
      </w:r>
      <w:proofErr w:type="gramEnd"/>
      <w:r w:rsidRPr="00071D06">
        <w:rPr>
          <w:sz w:val="20"/>
          <w:szCs w:val="20"/>
        </w:rPr>
        <w:t xml:space="preserve"> de la Unión Europea, y en ese contexto encargó este trabajo. </w:t>
      </w:r>
    </w:p>
    <w:p w14:paraId="5354D2CB" w14:textId="51AE2569" w:rsidR="00AB638D" w:rsidRPr="00071D06" w:rsidRDefault="003F4486" w:rsidP="00D1199C">
      <w:pPr>
        <w:rPr>
          <w:sz w:val="20"/>
          <w:szCs w:val="20"/>
        </w:rPr>
      </w:pPr>
      <w:r w:rsidRPr="00071D06">
        <w:rPr>
          <w:sz w:val="20"/>
          <w:szCs w:val="20"/>
        </w:rPr>
        <w:t>Para su desarrollo, el equipo del proyecto se ha referido a otras herramientas, pautas y fuentes de datos existentes, a saber:</w:t>
      </w:r>
    </w:p>
    <w:p w14:paraId="67D8A5D6" w14:textId="4E8D1163" w:rsidR="0003041C" w:rsidRPr="00071D06" w:rsidRDefault="00D26D58" w:rsidP="00403E42">
      <w:pPr>
        <w:pStyle w:val="Llistatambvinyeta"/>
        <w:numPr>
          <w:ilvl w:val="0"/>
          <w:numId w:val="38"/>
        </w:numPr>
        <w:ind w:left="284" w:hanging="284"/>
        <w:rPr>
          <w:sz w:val="20"/>
          <w:szCs w:val="20"/>
        </w:rPr>
      </w:pPr>
      <w:hyperlink r:id="rId46" w:history="1">
        <w:r w:rsidR="00DE44E8" w:rsidRPr="00071D06">
          <w:rPr>
            <w:rStyle w:val="Hipervnculo"/>
            <w:sz w:val="20"/>
            <w:szCs w:val="20"/>
          </w:rPr>
          <w:t>Especificaciones técnicas</w:t>
        </w:r>
      </w:hyperlink>
      <w:r w:rsidR="00DE44E8" w:rsidRPr="00071D06">
        <w:rPr>
          <w:sz w:val="20"/>
          <w:szCs w:val="20"/>
        </w:rPr>
        <w:t xml:space="preserve"> de la </w:t>
      </w:r>
      <w:hyperlink r:id="rId47" w:history="1">
        <w:r w:rsidR="00DE44E8" w:rsidRPr="00071D06">
          <w:rPr>
            <w:rStyle w:val="Hipervnculo"/>
            <w:sz w:val="20"/>
            <w:szCs w:val="20"/>
          </w:rPr>
          <w:t>herramienta de cálculo del coste del ciclo de vida (LCC)</w:t>
        </w:r>
      </w:hyperlink>
      <w:r w:rsidR="00DE44E8" w:rsidRPr="00071D06">
        <w:rPr>
          <w:sz w:val="20"/>
          <w:szCs w:val="20"/>
        </w:rPr>
        <w:t xml:space="preserve"> producidas por Studio Fieschi &amp; </w:t>
      </w:r>
      <w:proofErr w:type="spellStart"/>
      <w:r w:rsidR="00DE44E8" w:rsidRPr="00071D06">
        <w:rPr>
          <w:sz w:val="20"/>
          <w:szCs w:val="20"/>
        </w:rPr>
        <w:t>soci</w:t>
      </w:r>
      <w:proofErr w:type="spellEnd"/>
      <w:r w:rsidR="00DE44E8" w:rsidRPr="00071D06">
        <w:rPr>
          <w:sz w:val="20"/>
          <w:szCs w:val="20"/>
        </w:rPr>
        <w:t xml:space="preserve"> </w:t>
      </w:r>
      <w:proofErr w:type="spellStart"/>
      <w:r w:rsidR="00DE44E8" w:rsidRPr="00071D06">
        <w:rPr>
          <w:sz w:val="20"/>
          <w:szCs w:val="20"/>
        </w:rPr>
        <w:t>Srl</w:t>
      </w:r>
      <w:proofErr w:type="spellEnd"/>
      <w:r w:rsidR="00DE44E8" w:rsidRPr="00071D06">
        <w:rPr>
          <w:sz w:val="20"/>
          <w:szCs w:val="20"/>
        </w:rPr>
        <w:t xml:space="preserve"> y </w:t>
      </w:r>
      <w:proofErr w:type="spellStart"/>
      <w:r w:rsidR="00DE44E8" w:rsidRPr="00071D06">
        <w:rPr>
          <w:sz w:val="20"/>
          <w:szCs w:val="20"/>
        </w:rPr>
        <w:t>Scuola</w:t>
      </w:r>
      <w:proofErr w:type="spellEnd"/>
      <w:r w:rsidR="00DE44E8" w:rsidRPr="00071D06">
        <w:rPr>
          <w:sz w:val="20"/>
          <w:szCs w:val="20"/>
        </w:rPr>
        <w:t xml:space="preserve"> </w:t>
      </w:r>
      <w:proofErr w:type="spellStart"/>
      <w:r w:rsidR="00DE44E8" w:rsidRPr="00071D06">
        <w:rPr>
          <w:sz w:val="20"/>
          <w:szCs w:val="20"/>
        </w:rPr>
        <w:t>Superiore</w:t>
      </w:r>
      <w:proofErr w:type="spellEnd"/>
      <w:r w:rsidR="00DE44E8" w:rsidRPr="00071D06">
        <w:rPr>
          <w:sz w:val="20"/>
          <w:szCs w:val="20"/>
        </w:rPr>
        <w:t xml:space="preserve"> </w:t>
      </w:r>
      <w:proofErr w:type="spellStart"/>
      <w:r w:rsidR="00DE44E8" w:rsidRPr="00071D06">
        <w:rPr>
          <w:sz w:val="20"/>
          <w:szCs w:val="20"/>
        </w:rPr>
        <w:t>Sant'Anna</w:t>
      </w:r>
      <w:proofErr w:type="spellEnd"/>
      <w:r w:rsidR="00DE44E8" w:rsidRPr="00071D06">
        <w:rPr>
          <w:sz w:val="20"/>
          <w:szCs w:val="20"/>
        </w:rPr>
        <w:t xml:space="preserve"> para la Comisión Europea DG-Medio Ambiente, de acuerdo con el contrato de servicio N°070201/2014/692192/SER/ENV.F.1 (julio de 2016).</w:t>
      </w:r>
    </w:p>
    <w:p w14:paraId="598E66C4" w14:textId="0DBF341A" w:rsidR="00130B07" w:rsidRPr="00071D06" w:rsidRDefault="00D26D58" w:rsidP="00130B07">
      <w:pPr>
        <w:pStyle w:val="Llistatambvinyeta"/>
        <w:numPr>
          <w:ilvl w:val="0"/>
          <w:numId w:val="38"/>
        </w:numPr>
        <w:ind w:left="284" w:hanging="284"/>
        <w:rPr>
          <w:sz w:val="20"/>
          <w:szCs w:val="20"/>
        </w:rPr>
      </w:pPr>
      <w:hyperlink r:id="rId48" w:history="1">
        <w:r w:rsidR="00DE44E8" w:rsidRPr="00071D06">
          <w:rPr>
            <w:rStyle w:val="Hipervnculo"/>
            <w:sz w:val="20"/>
            <w:szCs w:val="20"/>
          </w:rPr>
          <w:t>Cálculo del CCV para la adquisición de sistemas de iluminación interior</w:t>
        </w:r>
      </w:hyperlink>
      <w:r w:rsidR="00DE44E8" w:rsidRPr="00071D06">
        <w:rPr>
          <w:sz w:val="20"/>
          <w:szCs w:val="20"/>
        </w:rPr>
        <w:t xml:space="preserve"> de la Agencia Nacional Sueca de Contratación Pública (noviembre 2016).</w:t>
      </w:r>
    </w:p>
    <w:p w14:paraId="7F958ADB" w14:textId="7441A235" w:rsidR="00130B07" w:rsidRPr="00071D06" w:rsidRDefault="00D26D58" w:rsidP="00130B07">
      <w:pPr>
        <w:pStyle w:val="Llistatambvinyeta"/>
        <w:numPr>
          <w:ilvl w:val="0"/>
          <w:numId w:val="38"/>
        </w:numPr>
        <w:ind w:left="284" w:hanging="284"/>
        <w:rPr>
          <w:sz w:val="20"/>
          <w:szCs w:val="20"/>
        </w:rPr>
      </w:pPr>
      <w:hyperlink r:id="rId49" w:history="1">
        <w:r w:rsidR="00DE44E8" w:rsidRPr="00071D06">
          <w:rPr>
            <w:rStyle w:val="Hipervnculo"/>
            <w:sz w:val="20"/>
            <w:szCs w:val="20"/>
          </w:rPr>
          <w:t>Herramienta de coste total de propiedad para bombillas y sistemas de iluminación</w:t>
        </w:r>
      </w:hyperlink>
      <w:r w:rsidR="00DE44E8" w:rsidRPr="00071D06">
        <w:rPr>
          <w:sz w:val="20"/>
          <w:szCs w:val="20"/>
        </w:rPr>
        <w:t xml:space="preserve"> del Ministerio danés de Medio Ambiente.</w:t>
      </w:r>
    </w:p>
    <w:p w14:paraId="14F8AF23" w14:textId="358BACA9" w:rsidR="00403E42" w:rsidRPr="00071D06" w:rsidRDefault="00403E42" w:rsidP="00130B07">
      <w:pPr>
        <w:pStyle w:val="Llistatambvinyeta"/>
        <w:numPr>
          <w:ilvl w:val="0"/>
          <w:numId w:val="38"/>
        </w:numPr>
        <w:ind w:left="284" w:hanging="284"/>
        <w:rPr>
          <w:sz w:val="20"/>
          <w:szCs w:val="20"/>
        </w:rPr>
      </w:pPr>
      <w:r w:rsidRPr="00071D06">
        <w:rPr>
          <w:sz w:val="20"/>
          <w:szCs w:val="20"/>
        </w:rPr>
        <w:t xml:space="preserve">Herramienta de CCV para iluminación interior del Gobierno de Flandes, Bélgica (en desarrollo, para más información póngase en contacto con </w:t>
      </w:r>
      <w:proofErr w:type="spellStart"/>
      <w:r w:rsidRPr="00071D06">
        <w:rPr>
          <w:sz w:val="20"/>
          <w:szCs w:val="20"/>
        </w:rPr>
        <w:t>Els</w:t>
      </w:r>
      <w:proofErr w:type="spellEnd"/>
      <w:r w:rsidRPr="00071D06">
        <w:rPr>
          <w:sz w:val="20"/>
          <w:szCs w:val="20"/>
        </w:rPr>
        <w:t xml:space="preserve"> </w:t>
      </w:r>
      <w:proofErr w:type="spellStart"/>
      <w:r w:rsidRPr="00071D06">
        <w:rPr>
          <w:sz w:val="20"/>
          <w:szCs w:val="20"/>
        </w:rPr>
        <w:t>Verwimp</w:t>
      </w:r>
      <w:proofErr w:type="spellEnd"/>
      <w:r w:rsidRPr="00071D06">
        <w:rPr>
          <w:sz w:val="20"/>
          <w:szCs w:val="20"/>
        </w:rPr>
        <w:t xml:space="preserve"> en </w:t>
      </w:r>
      <w:hyperlink r:id="rId50" w:history="1">
        <w:r w:rsidRPr="00071D06">
          <w:rPr>
            <w:rStyle w:val="Hipervnculo"/>
            <w:sz w:val="20"/>
            <w:szCs w:val="20"/>
          </w:rPr>
          <w:t>els.verwimp@vlaanderen.be</w:t>
        </w:r>
      </w:hyperlink>
      <w:r w:rsidRPr="00071D06">
        <w:rPr>
          <w:sz w:val="20"/>
          <w:szCs w:val="20"/>
        </w:rPr>
        <w:t>).</w:t>
      </w:r>
    </w:p>
    <w:p w14:paraId="18FDB43B" w14:textId="5C7B41BB" w:rsidR="00C872D4" w:rsidRPr="00071D06" w:rsidRDefault="00C872D4" w:rsidP="00130B07">
      <w:pPr>
        <w:pStyle w:val="Llistatambvinyeta"/>
        <w:numPr>
          <w:ilvl w:val="0"/>
          <w:numId w:val="38"/>
        </w:numPr>
        <w:ind w:left="284" w:hanging="284"/>
        <w:rPr>
          <w:sz w:val="20"/>
          <w:szCs w:val="20"/>
        </w:rPr>
      </w:pPr>
      <w:r w:rsidRPr="00071D06">
        <w:rPr>
          <w:sz w:val="20"/>
          <w:szCs w:val="20"/>
        </w:rPr>
        <w:t>Para las emisiones de CO</w:t>
      </w:r>
      <w:r w:rsidRPr="00071D06">
        <w:rPr>
          <w:sz w:val="20"/>
          <w:szCs w:val="20"/>
          <w:vertAlign w:val="subscript"/>
        </w:rPr>
        <w:t>2</w:t>
      </w:r>
      <w:r w:rsidRPr="00071D06">
        <w:rPr>
          <w:sz w:val="20"/>
          <w:szCs w:val="20"/>
        </w:rPr>
        <w:t xml:space="preserve">eq de la combinación nacional de electricidad: </w:t>
      </w:r>
      <w:hyperlink r:id="rId51" w:history="1">
        <w:r w:rsidRPr="00071D06">
          <w:rPr>
            <w:rStyle w:val="Hipervnculo"/>
            <w:sz w:val="20"/>
            <w:szCs w:val="20"/>
          </w:rPr>
          <w:t xml:space="preserve">Conjuntos de datos de la huella ambiental de </w:t>
        </w:r>
        <w:proofErr w:type="spellStart"/>
        <w:r w:rsidRPr="00071D06">
          <w:rPr>
            <w:rStyle w:val="Hipervnculo"/>
            <w:sz w:val="20"/>
            <w:szCs w:val="20"/>
          </w:rPr>
          <w:t>Thinkstep</w:t>
        </w:r>
        <w:proofErr w:type="spellEnd"/>
        <w:r w:rsidRPr="00071D06">
          <w:rPr>
            <w:rStyle w:val="Hipervnculo"/>
            <w:sz w:val="20"/>
            <w:szCs w:val="20"/>
          </w:rPr>
          <w:t xml:space="preserve"> AG</w:t>
        </w:r>
      </w:hyperlink>
      <w:r w:rsidRPr="00071D06">
        <w:rPr>
          <w:sz w:val="20"/>
          <w:szCs w:val="20"/>
        </w:rPr>
        <w:t xml:space="preserve"> –datos desarrollados en el marco de la fase piloto de la huella ambiental de la Comisión (2013-2018) y válidos hasta diciembre de 2020. </w:t>
      </w:r>
    </w:p>
    <w:p w14:paraId="1166872A" w14:textId="489B5CAA" w:rsidR="00D1199C" w:rsidRPr="00492B4C" w:rsidRDefault="00231AAE" w:rsidP="007E0E3A">
      <w:pPr>
        <w:pStyle w:val="Llistatambvinyeta"/>
        <w:numPr>
          <w:ilvl w:val="0"/>
          <w:numId w:val="0"/>
        </w:numPr>
        <w:pBdr>
          <w:top w:val="single" w:sz="4" w:space="1" w:color="1D9E9E"/>
        </w:pBdr>
        <w:rPr>
          <w:color w:val="595959"/>
        </w:rPr>
      </w:pPr>
      <w:r>
        <w:br w:type="column"/>
      </w:r>
      <w:r>
        <w:rPr>
          <w:color w:val="595959"/>
        </w:rPr>
        <w:lastRenderedPageBreak/>
        <w:t>Ni la Comisión Europea ni ninguna persona que actúe en nombre de la Comisión es responsable del uso que pueda hacerse de esta guía.</w:t>
      </w:r>
    </w:p>
    <w:p w14:paraId="255C217D" w14:textId="77777777" w:rsidR="00D1199C" w:rsidRPr="00492B4C" w:rsidRDefault="00D1199C" w:rsidP="00231AAE">
      <w:pPr>
        <w:rPr>
          <w:color w:val="7F7F7F"/>
        </w:rPr>
      </w:pPr>
    </w:p>
    <w:p w14:paraId="5A7D79F9" w14:textId="77777777" w:rsidR="00D1199C" w:rsidRPr="00492B4C" w:rsidRDefault="00D1199C" w:rsidP="00231AAE">
      <w:pPr>
        <w:rPr>
          <w:color w:val="7F7F7F"/>
          <w:sz w:val="20"/>
        </w:rPr>
      </w:pPr>
      <w:r>
        <w:rPr>
          <w:color w:val="7F7F7F"/>
          <w:sz w:val="20"/>
        </w:rPr>
        <w:t xml:space="preserve">Se autoriza la reproducción siempre que la fuente sea mencionada. </w:t>
      </w:r>
    </w:p>
    <w:p w14:paraId="1ABD1CD3" w14:textId="77777777" w:rsidR="00D1199C" w:rsidRPr="00492B4C" w:rsidRDefault="00D1199C" w:rsidP="00231AAE">
      <w:pPr>
        <w:rPr>
          <w:color w:val="7F7F7F"/>
          <w:sz w:val="20"/>
        </w:rPr>
      </w:pPr>
      <w:r>
        <w:rPr>
          <w:color w:val="7F7F7F"/>
          <w:sz w:val="20"/>
        </w:rPr>
        <w:t xml:space="preserve">La política relativa a la reutilización de documentos de la Comisión Europea está regulada por la Decisión 2011/833/UE (OJ L 330, 14.12.2011, p. 39). </w:t>
      </w:r>
    </w:p>
    <w:p w14:paraId="64079C8C" w14:textId="4B2A5D8A" w:rsidR="00D1199C" w:rsidRDefault="00D1199C" w:rsidP="00231AAE">
      <w:pPr>
        <w:rPr>
          <w:color w:val="7F7F7F"/>
          <w:sz w:val="20"/>
        </w:rPr>
      </w:pPr>
      <w:r>
        <w:rPr>
          <w:color w:val="7F7F7F"/>
          <w:sz w:val="20"/>
        </w:rPr>
        <w:t>Para cualquier uso o reproducción de imágenes u otro material que no esté sujeto a los derechos de reproducción de la UE, se debe solicitar el permiso directamente de los titulares de los derechos de reproducción.</w:t>
      </w:r>
    </w:p>
    <w:p w14:paraId="335364AE" w14:textId="214A301E" w:rsidR="00A75655" w:rsidRDefault="00A75655" w:rsidP="00231AAE">
      <w:pPr>
        <w:rPr>
          <w:color w:val="7F7F7F"/>
          <w:sz w:val="20"/>
        </w:rPr>
      </w:pPr>
    </w:p>
    <w:p w14:paraId="6935AC92" w14:textId="77777777" w:rsidR="00A75655" w:rsidRDefault="00A75655" w:rsidP="00D1199C">
      <w:pPr>
        <w:jc w:val="left"/>
        <w:rPr>
          <w:color w:val="7F7F7F"/>
        </w:rPr>
        <w:sectPr w:rsidR="00A75655" w:rsidSect="00A75655">
          <w:type w:val="continuous"/>
          <w:pgSz w:w="11907" w:h="16840" w:code="9"/>
          <w:pgMar w:top="1418" w:right="1134" w:bottom="851" w:left="1134" w:header="567" w:footer="567" w:gutter="0"/>
          <w:cols w:num="2" w:space="720"/>
        </w:sectPr>
      </w:pPr>
    </w:p>
    <w:p w14:paraId="4FCADB07" w14:textId="77777777" w:rsidR="00A75655" w:rsidRDefault="00A75655" w:rsidP="00D1199C">
      <w:pPr>
        <w:pStyle w:val="Ttulo1"/>
        <w:sectPr w:rsidR="00A75655" w:rsidSect="00A75655">
          <w:type w:val="continuous"/>
          <w:pgSz w:w="11907" w:h="16840" w:code="9"/>
          <w:pgMar w:top="1418" w:right="1134" w:bottom="851" w:left="1134" w:header="567" w:footer="567" w:gutter="0"/>
          <w:cols w:space="720"/>
        </w:sectPr>
      </w:pPr>
    </w:p>
    <w:p w14:paraId="6B2126B6" w14:textId="4E7CC44E" w:rsidR="002E20DB" w:rsidRDefault="002E20DB" w:rsidP="00D1199C">
      <w:r>
        <w:rPr>
          <w:noProof/>
        </w:rPr>
        <w:lastRenderedPageBreak/>
        <mc:AlternateContent>
          <mc:Choice Requires="wps">
            <w:drawing>
              <wp:anchor distT="0" distB="0" distL="114300" distR="114300" simplePos="0" relativeHeight="251688959" behindDoc="1" locked="0" layoutInCell="1" allowOverlap="1" wp14:anchorId="326B865F" wp14:editId="5A8ABDA4">
                <wp:simplePos x="0" y="0"/>
                <wp:positionH relativeFrom="column">
                  <wp:posOffset>-741860</wp:posOffset>
                </wp:positionH>
                <wp:positionV relativeFrom="paragraph">
                  <wp:posOffset>-900430</wp:posOffset>
                </wp:positionV>
                <wp:extent cx="7608116" cy="10715625"/>
                <wp:effectExtent l="0" t="0" r="0" b="3175"/>
                <wp:wrapNone/>
                <wp:docPr id="2" name="Rectangle 2"/>
                <wp:cNvGraphicFramePr/>
                <a:graphic xmlns:a="http://schemas.openxmlformats.org/drawingml/2006/main">
                  <a:graphicData uri="http://schemas.microsoft.com/office/word/2010/wordprocessingShape">
                    <wps:wsp>
                      <wps:cNvSpPr/>
                      <wps:spPr>
                        <a:xfrm>
                          <a:off x="0" y="0"/>
                          <a:ext cx="7608116" cy="10715625"/>
                        </a:xfrm>
                        <a:prstGeom prst="rect">
                          <a:avLst/>
                        </a:prstGeom>
                        <a:solidFill>
                          <a:srgbClr val="1D9E9E">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871E3" id="Rectangle 2" o:spid="_x0000_s1026" style="position:absolute;margin-left:-58.4pt;margin-top:-70.9pt;width:599.05pt;height:843.75pt;z-index:-251627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" fillcolor="#1d9e9e" stroked="f" strokeweight="1pt">
                <v:fill opacity="45746f"/>
              </v:rect>
            </w:pict>
          </mc:Fallback>
        </mc:AlternateContent>
      </w:r>
      <w:r>
        <w:rPr>
          <w:noProof/>
          <w:color w:val="FFFFFF" w:themeColor="background1"/>
          <w:sz w:val="48"/>
          <w:szCs w:val="48"/>
        </w:rPr>
        <w:drawing>
          <wp:anchor distT="0" distB="0" distL="114300" distR="114300" simplePos="0" relativeHeight="251688447" behindDoc="1" locked="0" layoutInCell="1" allowOverlap="1" wp14:anchorId="11DA772C" wp14:editId="7C9B5EF5">
            <wp:simplePos x="0" y="0"/>
            <wp:positionH relativeFrom="column">
              <wp:posOffset>-716280</wp:posOffset>
            </wp:positionH>
            <wp:positionV relativeFrom="paragraph">
              <wp:posOffset>-902516</wp:posOffset>
            </wp:positionV>
            <wp:extent cx="4679950" cy="3733800"/>
            <wp:effectExtent l="0" t="0" r="6350" b="0"/>
            <wp:wrapNone/>
            <wp:docPr id="84" name="Imagen 4" descr="Captura de pantalla 2018-01-25 a las 14.0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ptura de pantalla 2018-01-25 a las 14.03.49.png"/>
                    <pic:cNvPicPr>
                      <a:picLocks noChangeAspect="1"/>
                    </pic:cNvPicPr>
                  </pic:nvPicPr>
                  <pic:blipFill>
                    <a:blip r:embed="rId8"/>
                    <a:srcRect r="940"/>
                    <a:stretch>
                      <a:fillRect/>
                    </a:stretch>
                  </pic:blipFill>
                  <pic:spPr bwMode="auto">
                    <a:xfrm rot="10800000">
                      <a:off x="0" y="0"/>
                      <a:ext cx="4679950" cy="3733800"/>
                    </a:xfrm>
                    <a:prstGeom prst="rect">
                      <a:avLst/>
                    </a:prstGeom>
                    <a:noFill/>
                    <a:ln w="9525">
                      <a:noFill/>
                      <a:miter lim="800000"/>
                      <a:headEnd/>
                      <a:tailEnd/>
                    </a:ln>
                  </pic:spPr>
                </pic:pic>
              </a:graphicData>
            </a:graphic>
          </wp:anchor>
        </w:drawing>
      </w:r>
    </w:p>
    <w:p w14:paraId="4852FD51" w14:textId="7A8F30BB" w:rsidR="002E20DB" w:rsidRDefault="002E20DB" w:rsidP="00D1199C">
      <w:r>
        <w:br w:type="column"/>
      </w:r>
    </w:p>
    <w:p w14:paraId="7AB5E458" w14:textId="77777777" w:rsidR="002E20DB" w:rsidRDefault="002E20DB" w:rsidP="00D1199C"/>
    <w:p w14:paraId="14D7FDF0" w14:textId="77777777" w:rsidR="002E20DB" w:rsidRDefault="002E20DB" w:rsidP="00D1199C"/>
    <w:p w14:paraId="4E12340A" w14:textId="77777777" w:rsidR="002E20DB" w:rsidRDefault="002E20DB" w:rsidP="00D1199C"/>
    <w:p w14:paraId="17C18D93" w14:textId="77777777" w:rsidR="002E20DB" w:rsidRDefault="002E20DB" w:rsidP="00D1199C"/>
    <w:p w14:paraId="5DD1EC66" w14:textId="77777777" w:rsidR="002E20DB" w:rsidRDefault="002E20DB" w:rsidP="00D1199C"/>
    <w:p w14:paraId="5E4D5D26" w14:textId="77777777" w:rsidR="002E20DB" w:rsidRDefault="002E20DB" w:rsidP="00D1199C"/>
    <w:p w14:paraId="40D3629C" w14:textId="77777777" w:rsidR="002E20DB" w:rsidRDefault="002E20DB" w:rsidP="00D1199C"/>
    <w:p w14:paraId="68F2D162" w14:textId="77777777" w:rsidR="002E20DB" w:rsidRDefault="002E20DB" w:rsidP="00D1199C"/>
    <w:p w14:paraId="285B7134" w14:textId="77777777" w:rsidR="002E20DB" w:rsidRDefault="002E20DB" w:rsidP="00D1199C"/>
    <w:p w14:paraId="7E7C1B2D" w14:textId="77777777" w:rsidR="002E20DB" w:rsidRDefault="002E20DB" w:rsidP="00D1199C"/>
    <w:p w14:paraId="75B996C2" w14:textId="77777777" w:rsidR="002E20DB" w:rsidRDefault="002E20DB" w:rsidP="00D1199C"/>
    <w:p w14:paraId="1200D272" w14:textId="77777777" w:rsidR="002E20DB" w:rsidRDefault="002E20DB" w:rsidP="00D1199C"/>
    <w:p w14:paraId="5030DA87" w14:textId="77777777" w:rsidR="002E20DB" w:rsidRDefault="002E20DB" w:rsidP="00D1199C"/>
    <w:p w14:paraId="0F243EFF" w14:textId="77777777" w:rsidR="002E20DB" w:rsidRDefault="002E20DB" w:rsidP="00D1199C"/>
    <w:p w14:paraId="74F3BE45" w14:textId="77777777" w:rsidR="002E20DB" w:rsidRDefault="002E20DB" w:rsidP="00D1199C"/>
    <w:p w14:paraId="70EB7FC7" w14:textId="1EE263DC" w:rsidR="002E20DB" w:rsidRDefault="002E20DB" w:rsidP="00D1199C"/>
    <w:p w14:paraId="1A338A18" w14:textId="3DDC0595" w:rsidR="002E20DB" w:rsidRDefault="002E20DB" w:rsidP="00D1199C"/>
    <w:p w14:paraId="702B6B23" w14:textId="10BC5057" w:rsidR="002E20DB" w:rsidRDefault="002E20DB" w:rsidP="00D1199C"/>
    <w:p w14:paraId="179C9A44" w14:textId="465A91C2" w:rsidR="002E20DB" w:rsidRDefault="002E20DB" w:rsidP="00D1199C"/>
    <w:p w14:paraId="682AFA21" w14:textId="0BE67B2D" w:rsidR="002E20DB" w:rsidRDefault="002E20DB" w:rsidP="00D1199C"/>
    <w:p w14:paraId="2023D388" w14:textId="77777777" w:rsidR="002E20DB" w:rsidRDefault="002E20DB" w:rsidP="00D1199C"/>
    <w:p w14:paraId="003163CE" w14:textId="7B8C2DF2" w:rsidR="002E20DB" w:rsidRDefault="002E20DB" w:rsidP="00D1199C"/>
    <w:p w14:paraId="6B7C537A" w14:textId="77777777" w:rsidR="002E20DB" w:rsidRDefault="002E20DB" w:rsidP="00D1199C"/>
    <w:p w14:paraId="302C7EE0" w14:textId="38F5499D" w:rsidR="002E20DB" w:rsidRDefault="002E20DB" w:rsidP="00D1199C"/>
    <w:p w14:paraId="0928666E" w14:textId="77777777" w:rsidR="002E20DB" w:rsidRDefault="002E20DB" w:rsidP="00D1199C"/>
    <w:p w14:paraId="65E8F82E" w14:textId="677192D7" w:rsidR="002E20DB" w:rsidRDefault="002E20DB" w:rsidP="00D1199C"/>
    <w:p w14:paraId="6116AC91" w14:textId="241021A6" w:rsidR="00D1199C" w:rsidRPr="00492B4C" w:rsidRDefault="00741CBC" w:rsidP="00D1199C">
      <w:r>
        <w:rPr>
          <w:noProof/>
        </w:rPr>
        <mc:AlternateContent>
          <mc:Choice Requires="wps">
            <w:drawing>
              <wp:anchor distT="45720" distB="45720" distL="114300" distR="114300" simplePos="0" relativeHeight="251694079" behindDoc="0" locked="0" layoutInCell="1" allowOverlap="1" wp14:anchorId="30417E93" wp14:editId="00E1222E">
                <wp:simplePos x="0" y="0"/>
                <wp:positionH relativeFrom="column">
                  <wp:posOffset>-3484880</wp:posOffset>
                </wp:positionH>
                <wp:positionV relativeFrom="paragraph">
                  <wp:posOffset>654050</wp:posOffset>
                </wp:positionV>
                <wp:extent cx="3371850" cy="17526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752600"/>
                        </a:xfrm>
                        <a:prstGeom prst="rect">
                          <a:avLst/>
                        </a:prstGeom>
                        <a:noFill/>
                        <a:ln w="9525">
                          <a:noFill/>
                          <a:miter lim="800000"/>
                          <a:headEnd/>
                          <a:tailEnd/>
                        </a:ln>
                      </wps:spPr>
                      <wps:txbx>
                        <w:txbxContent>
                          <w:p w14:paraId="5C48FE12" w14:textId="77777777" w:rsidR="00741CBC" w:rsidRDefault="00741CBC" w:rsidP="00741CBC">
                            <w:r>
                              <w:rPr>
                                <w:noProof/>
                              </w:rPr>
                              <w:drawing>
                                <wp:inline distT="0" distB="0" distL="0" distR="0" wp14:anchorId="7747D7FF" wp14:editId="2C3F2571">
                                  <wp:extent cx="3141149" cy="1095375"/>
                                  <wp:effectExtent l="0" t="0" r="2540" b="0"/>
                                  <wp:docPr id="15" name="Imagen 1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Diagrama&#10;&#10;Descripción generada automáticamente"/>
                                          <pic:cNvPicPr/>
                                        </pic:nvPicPr>
                                        <pic:blipFill>
                                          <a:blip r:embed="rId52"/>
                                          <a:stretch>
                                            <a:fillRect/>
                                          </a:stretch>
                                        </pic:blipFill>
                                        <pic:spPr>
                                          <a:xfrm>
                                            <a:off x="0" y="0"/>
                                            <a:ext cx="3149776" cy="10983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417E93" id="_x0000_t202" coordsize="21600,21600" o:spt="202" path="m,l,21600r21600,l21600,xe">
                <v:stroke joinstyle="miter"/>
                <v:path gradientshapeok="t" o:connecttype="rect"/>
              </v:shapetype>
              <v:shape id="Cuadro de texto 2" o:spid="_x0000_s1033" type="#_x0000_t202" style="position:absolute;left:0;text-align:left;margin-left:-274.4pt;margin-top:51.5pt;width:265.5pt;height:138pt;z-index:2516940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" filled="f" stroked="f">
                <v:textbox>
                  <w:txbxContent>
                    <w:p w14:paraId="5C48FE12" w14:textId="77777777" w:rsidR="00741CBC" w:rsidRDefault="00741CBC" w:rsidP="00741CBC">
                      <w:r>
                        <w:rPr>
                          <w:noProof/>
                        </w:rPr>
                        <w:drawing>
                          <wp:inline distT="0" distB="0" distL="0" distR="0" wp14:anchorId="7747D7FF" wp14:editId="2C3F2571">
                            <wp:extent cx="3141149" cy="1095375"/>
                            <wp:effectExtent l="0" t="0" r="2540" b="0"/>
                            <wp:docPr id="15" name="Imagen 1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Diagrama&#10;&#10;Descripción generada automáticamente"/>
                                    <pic:cNvPicPr/>
                                  </pic:nvPicPr>
                                  <pic:blipFill>
                                    <a:blip r:embed="rId54"/>
                                    <a:stretch>
                                      <a:fillRect/>
                                    </a:stretch>
                                  </pic:blipFill>
                                  <pic:spPr>
                                    <a:xfrm>
                                      <a:off x="0" y="0"/>
                                      <a:ext cx="3149776" cy="1098383"/>
                                    </a:xfrm>
                                    <a:prstGeom prst="rect">
                                      <a:avLst/>
                                    </a:prstGeom>
                                  </pic:spPr>
                                </pic:pic>
                              </a:graphicData>
                            </a:graphic>
                          </wp:inline>
                        </w:drawing>
                      </w:r>
                    </w:p>
                  </w:txbxContent>
                </v:textbox>
                <w10:wrap type="square"/>
              </v:shape>
            </w:pict>
          </mc:Fallback>
        </mc:AlternateContent>
      </w:r>
      <w:r>
        <w:rPr>
          <w:noProof/>
        </w:rPr>
        <w:drawing>
          <wp:anchor distT="0" distB="0" distL="114300" distR="114300" simplePos="0" relativeHeight="251685888" behindDoc="0" locked="0" layoutInCell="1" allowOverlap="1" wp14:anchorId="4093D889" wp14:editId="2008A7E2">
            <wp:simplePos x="0" y="0"/>
            <wp:positionH relativeFrom="column">
              <wp:posOffset>223339</wp:posOffset>
            </wp:positionH>
            <wp:positionV relativeFrom="paragraph">
              <wp:posOffset>285841</wp:posOffset>
            </wp:positionV>
            <wp:extent cx="2392680" cy="1603375"/>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c-logo-300x201.png"/>
                    <pic:cNvPicPr/>
                  </pic:nvPicPr>
                  <pic:blipFill>
                    <a:blip r:embed="rId55"/>
                    <a:stretch>
                      <a:fillRect/>
                    </a:stretch>
                  </pic:blipFill>
                  <pic:spPr>
                    <a:xfrm>
                      <a:off x="0" y="0"/>
                      <a:ext cx="2392680" cy="1603375"/>
                    </a:xfrm>
                    <a:prstGeom prst="rect">
                      <a:avLst/>
                    </a:prstGeom>
                  </pic:spPr>
                </pic:pic>
              </a:graphicData>
            </a:graphic>
            <wp14:sizeRelH relativeFrom="margin">
              <wp14:pctWidth>0</wp14:pctWidth>
            </wp14:sizeRelH>
            <wp14:sizeRelV relativeFrom="margin">
              <wp14:pctHeight>0</wp14:pctHeight>
            </wp14:sizeRelV>
          </wp:anchor>
        </w:drawing>
      </w:r>
    </w:p>
    <w:bookmarkEnd w:id="1"/>
    <w:bookmarkEnd w:id="2"/>
    <w:p w14:paraId="45749249" w14:textId="039F7EB8" w:rsidR="0012684F" w:rsidRDefault="0012684F" w:rsidP="00D76889"/>
    <w:p w14:paraId="2B51A0FC" w14:textId="1284A929" w:rsidR="00D76889" w:rsidRPr="0012684F" w:rsidRDefault="00DE0EB6" w:rsidP="002E20DB">
      <w:pPr>
        <w:jc w:val="right"/>
        <w:rPr>
          <w:color w:val="404040" w:themeColor="text1" w:themeTint="BF"/>
          <w:sz w:val="24"/>
        </w:rPr>
      </w:pPr>
      <w:r>
        <w:rPr>
          <w:color w:val="404040" w:themeColor="text1" w:themeTint="BF"/>
          <w:sz w:val="24"/>
        </w:rPr>
        <w:t xml:space="preserve">DG </w:t>
      </w:r>
      <w:proofErr w:type="spellStart"/>
      <w:r>
        <w:rPr>
          <w:color w:val="404040" w:themeColor="text1" w:themeTint="BF"/>
          <w:sz w:val="24"/>
        </w:rPr>
        <w:t>Environment</w:t>
      </w:r>
      <w:proofErr w:type="spellEnd"/>
      <w:r>
        <w:rPr>
          <w:color w:val="404040" w:themeColor="text1" w:themeTint="BF"/>
          <w:sz w:val="24"/>
        </w:rPr>
        <w:t xml:space="preserve"> (Medio Ambiente)</w:t>
      </w:r>
    </w:p>
    <w:p w14:paraId="0D16E82E" w14:textId="5FAFC63F" w:rsidR="00D1199C" w:rsidRPr="00492B4C" w:rsidRDefault="00D76889" w:rsidP="002E20DB">
      <w:pPr>
        <w:jc w:val="right"/>
      </w:pPr>
      <w:r>
        <w:rPr>
          <w:color w:val="404040" w:themeColor="text1" w:themeTint="BF"/>
          <w:sz w:val="24"/>
        </w:rPr>
        <w:t>© Comisión Europea, noviembre 2019</w:t>
      </w:r>
    </w:p>
    <w:sectPr w:rsidR="00D1199C" w:rsidRPr="00492B4C" w:rsidSect="002E20DB">
      <w:footerReference w:type="default" r:id="rId56"/>
      <w:pgSz w:w="11907" w:h="16840" w:code="9"/>
      <w:pgMar w:top="1418" w:right="1134" w:bottom="851" w:left="1134" w:header="567" w:footer="567"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00FC3" w14:textId="77777777" w:rsidR="00D26D58" w:rsidRDefault="00D26D58">
      <w:pPr>
        <w:spacing w:before="0"/>
      </w:pPr>
      <w:r>
        <w:separator/>
      </w:r>
    </w:p>
  </w:endnote>
  <w:endnote w:type="continuationSeparator" w:id="0">
    <w:p w14:paraId="44E34779" w14:textId="77777777" w:rsidR="00D26D58" w:rsidRDefault="00D26D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C9CD1" w14:textId="77777777" w:rsidR="00B51B1D" w:rsidRDefault="00B51B1D" w:rsidP="00D1199C">
    <w:pPr>
      <w:pStyle w:val="Piedepgina"/>
    </w:pPr>
  </w:p>
  <w:p w14:paraId="1298D033" w14:textId="77777777" w:rsidR="00B51B1D" w:rsidRDefault="00B51B1D"/>
  <w:p w14:paraId="0B77F8F1" w14:textId="77777777" w:rsidR="00B51B1D" w:rsidRDefault="00B51B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C8926" w14:textId="77777777" w:rsidR="00BA180A" w:rsidRDefault="00BA180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B47B2" w14:textId="77777777" w:rsidR="00BA180A" w:rsidRDefault="00BA180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9E35D" w14:textId="77777777" w:rsidR="00CF1523" w:rsidRPr="00EF4264" w:rsidRDefault="00CF1523" w:rsidP="00491C55">
    <w:pPr>
      <w:framePr w:wrap="around" w:vAnchor="text" w:hAnchor="page" w:x="10800" w:y="286"/>
      <w:jc w:val="center"/>
      <w:rPr>
        <w:color w:val="7F7F7F"/>
        <w:sz w:val="20"/>
      </w:rPr>
    </w:pPr>
    <w:r w:rsidRPr="00EF4264">
      <w:rPr>
        <w:color w:val="7F7F7F"/>
        <w:sz w:val="20"/>
      </w:rPr>
      <w:fldChar w:fldCharType="begin"/>
    </w:r>
    <w:r>
      <w:rPr>
        <w:color w:val="7F7F7F"/>
        <w:sz w:val="20"/>
      </w:rPr>
      <w:instrText>PAGE</w:instrText>
    </w:r>
    <w:r w:rsidRPr="00EF4264">
      <w:rPr>
        <w:color w:val="7F7F7F"/>
        <w:sz w:val="20"/>
      </w:rPr>
      <w:instrText xml:space="preserve">  </w:instrText>
    </w:r>
    <w:r w:rsidRPr="00EF4264">
      <w:rPr>
        <w:color w:val="7F7F7F"/>
        <w:sz w:val="20"/>
      </w:rPr>
      <w:fldChar w:fldCharType="separate"/>
    </w:r>
    <w:r>
      <w:rPr>
        <w:color w:val="7F7F7F"/>
        <w:sz w:val="20"/>
      </w:rPr>
      <w:t>1</w:t>
    </w:r>
    <w:r w:rsidRPr="00EF4264">
      <w:rPr>
        <w:color w:val="7F7F7F"/>
        <w:sz w:val="20"/>
      </w:rPr>
      <w:fldChar w:fldCharType="end"/>
    </w:r>
  </w:p>
  <w:p w14:paraId="7F044F4E" w14:textId="0C0BE04A" w:rsidR="00CF1523" w:rsidRDefault="005B3944" w:rsidP="009D0DE8">
    <w:pPr>
      <w:jc w:val="left"/>
    </w:pPr>
    <w:r>
      <w:rPr>
        <w:noProof/>
      </w:rPr>
      <w:drawing>
        <wp:anchor distT="0" distB="0" distL="114300" distR="114300" simplePos="0" relativeHeight="251683840" behindDoc="1" locked="0" layoutInCell="1" allowOverlap="1" wp14:anchorId="3EA81EE5" wp14:editId="3999D9E8">
          <wp:simplePos x="0" y="0"/>
          <wp:positionH relativeFrom="column">
            <wp:posOffset>2967990</wp:posOffset>
          </wp:positionH>
          <wp:positionV relativeFrom="paragraph">
            <wp:posOffset>-2466137</wp:posOffset>
          </wp:positionV>
          <wp:extent cx="3873500" cy="3073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g"/>
                  <pic:cNvPicPr/>
                </pic:nvPicPr>
                <pic:blipFill>
                  <a:blip r:embed="rId1"/>
                  <a:stretch>
                    <a:fillRect/>
                  </a:stretch>
                </pic:blipFill>
                <pic:spPr>
                  <a:xfrm>
                    <a:off x="0" y="0"/>
                    <a:ext cx="3873500" cy="307340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D4BCD" w14:textId="77777777" w:rsidR="00EC32C7" w:rsidRPr="00EF4264" w:rsidRDefault="00EC32C7" w:rsidP="00EC32C7">
    <w:pPr>
      <w:framePr w:wrap="around" w:vAnchor="text" w:hAnchor="page" w:x="15635" w:y="247"/>
      <w:jc w:val="center"/>
      <w:rPr>
        <w:color w:val="7F7F7F"/>
        <w:sz w:val="20"/>
      </w:rPr>
    </w:pPr>
    <w:r w:rsidRPr="00EF4264">
      <w:rPr>
        <w:color w:val="7F7F7F"/>
        <w:sz w:val="20"/>
      </w:rPr>
      <w:fldChar w:fldCharType="begin"/>
    </w:r>
    <w:r>
      <w:rPr>
        <w:color w:val="7F7F7F"/>
        <w:sz w:val="20"/>
      </w:rPr>
      <w:instrText>PAGE</w:instrText>
    </w:r>
    <w:r w:rsidRPr="00EF4264">
      <w:rPr>
        <w:color w:val="7F7F7F"/>
        <w:sz w:val="20"/>
      </w:rPr>
      <w:instrText xml:space="preserve">  </w:instrText>
    </w:r>
    <w:r w:rsidRPr="00EF4264">
      <w:rPr>
        <w:color w:val="7F7F7F"/>
        <w:sz w:val="20"/>
      </w:rPr>
      <w:fldChar w:fldCharType="separate"/>
    </w:r>
    <w:r>
      <w:rPr>
        <w:color w:val="7F7F7F"/>
        <w:sz w:val="20"/>
      </w:rPr>
      <w:t>1</w:t>
    </w:r>
    <w:r w:rsidRPr="00EF4264">
      <w:rPr>
        <w:color w:val="7F7F7F"/>
        <w:sz w:val="20"/>
      </w:rPr>
      <w:fldChar w:fldCharType="end"/>
    </w:r>
  </w:p>
  <w:p w14:paraId="00D1B5AB" w14:textId="6A89A2BB" w:rsidR="00EC32C7" w:rsidRDefault="00BA180A" w:rsidP="009D0DE8">
    <w:pPr>
      <w:jc w:val="left"/>
    </w:pPr>
    <w:r>
      <w:rPr>
        <w:noProof/>
      </w:rPr>
      <w:drawing>
        <wp:anchor distT="0" distB="0" distL="114300" distR="114300" simplePos="0" relativeHeight="251685888" behindDoc="1" locked="0" layoutInCell="1" allowOverlap="1" wp14:anchorId="3D34D81E" wp14:editId="565AB72E">
          <wp:simplePos x="0" y="0"/>
          <wp:positionH relativeFrom="column">
            <wp:posOffset>5943316</wp:posOffset>
          </wp:positionH>
          <wp:positionV relativeFrom="paragraph">
            <wp:posOffset>-2462274</wp:posOffset>
          </wp:positionV>
          <wp:extent cx="3873500" cy="3073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g"/>
                  <pic:cNvPicPr/>
                </pic:nvPicPr>
                <pic:blipFill>
                  <a:blip r:embed="rId1"/>
                  <a:stretch>
                    <a:fillRect/>
                  </a:stretch>
                </pic:blipFill>
                <pic:spPr>
                  <a:xfrm>
                    <a:off x="0" y="0"/>
                    <a:ext cx="3873500" cy="307340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1D771" w14:textId="77777777" w:rsidR="00EC32C7" w:rsidRPr="00EF4264" w:rsidRDefault="00EC32C7" w:rsidP="00491C55">
    <w:pPr>
      <w:framePr w:wrap="around" w:vAnchor="text" w:hAnchor="page" w:x="10800" w:y="286"/>
      <w:jc w:val="center"/>
      <w:rPr>
        <w:color w:val="7F7F7F"/>
        <w:sz w:val="20"/>
      </w:rPr>
    </w:pPr>
    <w:r w:rsidRPr="00EF4264">
      <w:rPr>
        <w:color w:val="7F7F7F"/>
        <w:sz w:val="20"/>
      </w:rPr>
      <w:fldChar w:fldCharType="begin"/>
    </w:r>
    <w:r>
      <w:rPr>
        <w:color w:val="7F7F7F"/>
        <w:sz w:val="20"/>
      </w:rPr>
      <w:instrText>PAGE</w:instrText>
    </w:r>
    <w:r w:rsidRPr="00EF4264">
      <w:rPr>
        <w:color w:val="7F7F7F"/>
        <w:sz w:val="20"/>
      </w:rPr>
      <w:instrText xml:space="preserve">  </w:instrText>
    </w:r>
    <w:r w:rsidRPr="00EF4264">
      <w:rPr>
        <w:color w:val="7F7F7F"/>
        <w:sz w:val="20"/>
      </w:rPr>
      <w:fldChar w:fldCharType="separate"/>
    </w:r>
    <w:r>
      <w:rPr>
        <w:color w:val="7F7F7F"/>
        <w:sz w:val="20"/>
      </w:rPr>
      <w:t>1</w:t>
    </w:r>
    <w:r w:rsidRPr="00EF4264">
      <w:rPr>
        <w:color w:val="7F7F7F"/>
        <w:sz w:val="20"/>
      </w:rPr>
      <w:fldChar w:fldCharType="end"/>
    </w:r>
  </w:p>
  <w:p w14:paraId="6492D068" w14:textId="499B2734" w:rsidR="00EC32C7" w:rsidRDefault="00BA180A" w:rsidP="009D0DE8">
    <w:pPr>
      <w:jc w:val="left"/>
    </w:pPr>
    <w:r>
      <w:rPr>
        <w:noProof/>
      </w:rPr>
      <w:drawing>
        <wp:anchor distT="0" distB="0" distL="114300" distR="114300" simplePos="0" relativeHeight="251687936" behindDoc="1" locked="0" layoutInCell="1" allowOverlap="1" wp14:anchorId="603BD965" wp14:editId="4605871A">
          <wp:simplePos x="0" y="0"/>
          <wp:positionH relativeFrom="column">
            <wp:posOffset>2966923</wp:posOffset>
          </wp:positionH>
          <wp:positionV relativeFrom="paragraph">
            <wp:posOffset>-2471420</wp:posOffset>
          </wp:positionV>
          <wp:extent cx="3873500" cy="307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g"/>
                  <pic:cNvPicPr/>
                </pic:nvPicPr>
                <pic:blipFill>
                  <a:blip r:embed="rId1"/>
                  <a:stretch>
                    <a:fillRect/>
                  </a:stretch>
                </pic:blipFill>
                <pic:spPr>
                  <a:xfrm>
                    <a:off x="0" y="0"/>
                    <a:ext cx="3873500" cy="307340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08BC5" w14:textId="77777777" w:rsidR="00D76889" w:rsidRDefault="00D76889" w:rsidP="00A756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6ED555" w14:textId="77777777" w:rsidR="00D26D58" w:rsidRPr="002C6642" w:rsidRDefault="00D26D58" w:rsidP="00D1199C">
      <w:pPr>
        <w:spacing w:before="0"/>
        <w:rPr>
          <w:color w:val="808080"/>
        </w:rPr>
      </w:pPr>
      <w:r w:rsidRPr="002C6642">
        <w:rPr>
          <w:color w:val="808080"/>
        </w:rPr>
        <w:separator/>
      </w:r>
    </w:p>
  </w:footnote>
  <w:footnote w:type="continuationSeparator" w:id="0">
    <w:p w14:paraId="05DBA112" w14:textId="77777777" w:rsidR="00D26D58" w:rsidRDefault="00D26D58">
      <w:pPr>
        <w:spacing w:before="0"/>
      </w:pPr>
      <w:r>
        <w:continuationSeparator/>
      </w:r>
    </w:p>
  </w:footnote>
  <w:footnote w:id="1">
    <w:p w14:paraId="2154676F" w14:textId="77777777" w:rsidR="001D0BC9" w:rsidRPr="00BC4CCB" w:rsidRDefault="001D0BC9" w:rsidP="001D0BC9">
      <w:pPr>
        <w:pStyle w:val="Textonotapie"/>
      </w:pPr>
      <w:r>
        <w:rPr>
          <w:rStyle w:val="Refdenotaalpie"/>
        </w:rPr>
        <w:footnoteRef/>
      </w:r>
      <w:r>
        <w:t xml:space="preserve"> Energy piano (2017). Iluminación LED para interiores en el sector de servicios públicos y privados. Consorcio del proyecto Premium Light Pro de la 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EF532" w14:textId="77777777" w:rsidR="00B51B1D" w:rsidRDefault="00B51B1D" w:rsidP="00D1199C"/>
  <w:p w14:paraId="7BF157CD" w14:textId="77777777" w:rsidR="00B51B1D" w:rsidRDefault="00B51B1D"/>
  <w:p w14:paraId="74C24F1A" w14:textId="77777777" w:rsidR="00B51B1D" w:rsidRDefault="00B51B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8F756" w14:textId="77777777" w:rsidR="00BA180A" w:rsidRDefault="00BA180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08" w:type="dxa"/>
      <w:jc w:val="center"/>
      <w:tblLayout w:type="fixed"/>
      <w:tblCellMar>
        <w:left w:w="80" w:type="dxa"/>
        <w:right w:w="80" w:type="dxa"/>
      </w:tblCellMar>
      <w:tblLook w:val="0000" w:firstRow="0" w:lastRow="0" w:firstColumn="0" w:lastColumn="0" w:noHBand="0" w:noVBand="0"/>
    </w:tblPr>
    <w:tblGrid>
      <w:gridCol w:w="7068"/>
      <w:gridCol w:w="3040"/>
    </w:tblGrid>
    <w:tr w:rsidR="00B51B1D" w:rsidRPr="0032098B" w14:paraId="3AF825F4" w14:textId="77777777">
      <w:trPr>
        <w:jc w:val="center"/>
      </w:trPr>
      <w:tc>
        <w:tcPr>
          <w:tcW w:w="7068" w:type="dxa"/>
          <w:vAlign w:val="bottom"/>
        </w:tcPr>
        <w:p w14:paraId="65B38ADC" w14:textId="77777777" w:rsidR="00B51B1D" w:rsidRPr="009523C0" w:rsidRDefault="00B51B1D" w:rsidP="00D1199C">
          <w:pPr>
            <w:jc w:val="right"/>
          </w:pPr>
          <w:r>
            <w:br w:type="page"/>
          </w:r>
          <w:r>
            <w:rPr>
              <w:noProof/>
            </w:rPr>
            <w:drawing>
              <wp:inline distT="0" distB="0" distL="0" distR="0" wp14:anchorId="050845F1" wp14:editId="296FEB8C">
                <wp:extent cx="927100" cy="838200"/>
                <wp:effectExtent l="0" t="0" r="0" b="0"/>
                <wp:docPr id="85"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838200"/>
                        </a:xfrm>
                        <a:prstGeom prst="rect">
                          <a:avLst/>
                        </a:prstGeom>
                        <a:noFill/>
                        <a:ln>
                          <a:noFill/>
                        </a:ln>
                      </pic:spPr>
                    </pic:pic>
                  </a:graphicData>
                </a:graphic>
              </wp:inline>
            </w:drawing>
          </w:r>
        </w:p>
      </w:tc>
      <w:tc>
        <w:tcPr>
          <w:tcW w:w="3040" w:type="dxa"/>
        </w:tcPr>
        <w:p w14:paraId="33E3031F" w14:textId="77777777" w:rsidR="00B51B1D" w:rsidRPr="00D0016F" w:rsidRDefault="00B51B1D" w:rsidP="00D1199C">
          <w:pPr>
            <w:spacing w:before="240"/>
            <w:rPr>
              <w:b/>
              <w:color w:val="7F7F7F"/>
            </w:rPr>
          </w:pPr>
          <w:proofErr w:type="spellStart"/>
          <w:r>
            <w:rPr>
              <w:b/>
              <w:color w:val="7F7F7F"/>
            </w:rPr>
            <w:t>Ecoinstitut</w:t>
          </w:r>
          <w:proofErr w:type="spellEnd"/>
          <w:r>
            <w:rPr>
              <w:b/>
              <w:color w:val="7F7F7F"/>
            </w:rPr>
            <w:t xml:space="preserve"> SCCL</w:t>
          </w:r>
        </w:p>
        <w:p w14:paraId="26FB9700" w14:textId="77777777" w:rsidR="00B51B1D" w:rsidRPr="00E779C7" w:rsidRDefault="00B51B1D" w:rsidP="00D1199C">
          <w:pPr>
            <w:rPr>
              <w:color w:val="7F7F7F"/>
            </w:rPr>
          </w:pPr>
          <w:r>
            <w:rPr>
              <w:color w:val="7F7F7F"/>
            </w:rPr>
            <w:t xml:space="preserve">Torre </w:t>
          </w:r>
          <w:proofErr w:type="spellStart"/>
          <w:r>
            <w:rPr>
              <w:color w:val="7F7F7F"/>
            </w:rPr>
            <w:t>dels</w:t>
          </w:r>
          <w:proofErr w:type="spellEnd"/>
          <w:r>
            <w:rPr>
              <w:color w:val="7F7F7F"/>
            </w:rPr>
            <w:t xml:space="preserve"> </w:t>
          </w:r>
          <w:proofErr w:type="spellStart"/>
          <w:r>
            <w:rPr>
              <w:color w:val="7F7F7F"/>
            </w:rPr>
            <w:t>Pardals</w:t>
          </w:r>
          <w:proofErr w:type="spellEnd"/>
          <w:r>
            <w:rPr>
              <w:color w:val="7F7F7F"/>
            </w:rPr>
            <w:t xml:space="preserve">, 69 </w:t>
          </w:r>
          <w:proofErr w:type="spellStart"/>
          <w:r>
            <w:rPr>
              <w:color w:val="7F7F7F"/>
            </w:rPr>
            <w:t>entl</w:t>
          </w:r>
          <w:proofErr w:type="spellEnd"/>
          <w:r>
            <w:rPr>
              <w:color w:val="7F7F7F"/>
            </w:rPr>
            <w:t>. 4a</w:t>
          </w:r>
        </w:p>
        <w:p w14:paraId="1CDCB391" w14:textId="77777777" w:rsidR="00B51B1D" w:rsidRPr="00E779C7" w:rsidRDefault="00B51B1D" w:rsidP="00D1199C">
          <w:pPr>
            <w:rPr>
              <w:color w:val="7F7F7F"/>
            </w:rPr>
          </w:pPr>
          <w:r>
            <w:rPr>
              <w:color w:val="7F7F7F"/>
            </w:rPr>
            <w:t>08032 Barcelona</w:t>
          </w:r>
        </w:p>
        <w:p w14:paraId="59E18FF9" w14:textId="77777777" w:rsidR="00B51B1D" w:rsidRPr="00D0016F" w:rsidRDefault="00B51B1D" w:rsidP="00D1199C">
          <w:pPr>
            <w:ind w:right="-17"/>
            <w:rPr>
              <w:color w:val="7F7F7F"/>
            </w:rPr>
          </w:pPr>
          <w:r>
            <w:rPr>
              <w:color w:val="7F7F7F"/>
            </w:rPr>
            <w:t>Tel 933481386 / Fax 934361094</w:t>
          </w:r>
        </w:p>
        <w:p w14:paraId="3D5D3C8B" w14:textId="77777777" w:rsidR="00B51B1D" w:rsidRPr="00D0016F" w:rsidRDefault="00D26D58" w:rsidP="00D1199C">
          <w:pPr>
            <w:rPr>
              <w:color w:val="7F7F7F"/>
              <w:u w:val="single"/>
            </w:rPr>
          </w:pPr>
          <w:hyperlink r:id="rId2" w:history="1">
            <w:r w:rsidR="00DE44E8">
              <w:rPr>
                <w:color w:val="7F7F7F"/>
                <w:u w:val="single"/>
              </w:rPr>
              <w:t>www.ecoinstitut.es</w:t>
            </w:r>
          </w:hyperlink>
        </w:p>
        <w:p w14:paraId="3CE8685A" w14:textId="77777777" w:rsidR="00B51B1D" w:rsidRPr="0059733B" w:rsidRDefault="00B51B1D" w:rsidP="00D1199C">
          <w:r>
            <w:rPr>
              <w:color w:val="7F7F7F"/>
            </w:rPr>
            <w:t>ecoinstitut@ecoinstitut.es</w:t>
          </w:r>
        </w:p>
      </w:tc>
    </w:tr>
  </w:tbl>
  <w:p w14:paraId="5CD4D2A3" w14:textId="77777777" w:rsidR="00B51B1D" w:rsidRDefault="00B51B1D" w:rsidP="00D1199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A9D8C" w14:textId="3D5011BB" w:rsidR="002326A9" w:rsidRPr="006D410A" w:rsidRDefault="002326A9" w:rsidP="006D410A">
    <w:pPr>
      <w:pStyle w:val="Capalera"/>
      <w:rPr>
        <w:b/>
        <w:color w:val="1D9E9E"/>
      </w:rPr>
    </w:pPr>
    <w:r>
      <w:rPr>
        <w:b/>
        <w:color w:val="1D9E9E"/>
      </w:rPr>
      <w:t>La herramienta CCV para iluminación interior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022D6" w14:textId="711554B1" w:rsidR="00C44E5B" w:rsidRPr="006D410A" w:rsidRDefault="00C44E5B" w:rsidP="00C44E5B">
    <w:pPr>
      <w:pStyle w:val="Capalera"/>
      <w:ind w:left="1080"/>
      <w:rPr>
        <w:b/>
        <w:color w:val="1D9E9E"/>
      </w:rPr>
    </w:pPr>
    <w:r>
      <w:rPr>
        <w:b/>
        <w:color w:val="1D9E9E"/>
      </w:rPr>
      <w:t>I. Antes del proceso de licitación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9E590" w14:textId="4B382D7D" w:rsidR="001522DE" w:rsidRPr="006D410A" w:rsidRDefault="001522DE" w:rsidP="001522DE">
    <w:pPr>
      <w:pStyle w:val="Capalera"/>
      <w:ind w:left="1080"/>
      <w:rPr>
        <w:b/>
        <w:color w:val="1D9E9E"/>
      </w:rPr>
    </w:pPr>
    <w:r>
      <w:rPr>
        <w:b/>
        <w:color w:val="1D9E9E"/>
      </w:rPr>
      <w:t>II. Cómo usar CCV durante el proceso de licitación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92845" w14:textId="2BDA44B4" w:rsidR="001522DE" w:rsidRPr="006D410A" w:rsidRDefault="001522DE" w:rsidP="001522DE">
    <w:pPr>
      <w:pStyle w:val="Capalera"/>
      <w:ind w:left="1080"/>
      <w:rPr>
        <w:b/>
        <w:color w:val="1D9E9E"/>
      </w:rPr>
    </w:pPr>
    <w:r>
      <w:rPr>
        <w:b/>
        <w:color w:val="1D9E9E"/>
      </w:rPr>
      <w:t>II. Cómo usar CCV durante el proceso de licitación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FC608" w14:textId="401E98B5" w:rsidR="00BC14D8" w:rsidRPr="006D410A" w:rsidRDefault="00BC14D8" w:rsidP="001522DE">
    <w:pPr>
      <w:pStyle w:val="Capalera"/>
      <w:ind w:left="1080"/>
      <w:rPr>
        <w:b/>
        <w:color w:val="1D9E9E"/>
      </w:rPr>
    </w:pPr>
    <w:r>
      <w:rPr>
        <w:b/>
        <w:color w:val="1D9E9E"/>
      </w:rPr>
      <w:t>III. Después del proceso de licitación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6B411" w14:textId="0AD8F43E" w:rsidR="00BC14D8" w:rsidRPr="006D410A" w:rsidRDefault="00BC14D8" w:rsidP="001522DE">
    <w:pPr>
      <w:pStyle w:val="Capalera"/>
      <w:ind w:left="1080"/>
      <w:rPr>
        <w:b/>
        <w:color w:val="1D9E9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15A41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948965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C66E6A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40EA81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2A8E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96ECD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59AEC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04612E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C46FDB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070C38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96BD0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61EFA"/>
    <w:multiLevelType w:val="hybridMultilevel"/>
    <w:tmpl w:val="18C49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A42EBA"/>
    <w:multiLevelType w:val="hybridMultilevel"/>
    <w:tmpl w:val="A0764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C044DD"/>
    <w:multiLevelType w:val="hybridMultilevel"/>
    <w:tmpl w:val="76E00928"/>
    <w:lvl w:ilvl="0" w:tplc="C6F8C5D0">
      <w:start w:val="1"/>
      <w:numFmt w:val="bullet"/>
      <w:pStyle w:val="LlistatambvinyetaGRIS"/>
      <w:lvlText w:val=""/>
      <w:lvlJc w:val="left"/>
      <w:pPr>
        <w:ind w:left="360" w:hanging="360"/>
      </w:pPr>
      <w:rPr>
        <w:rFonts w:ascii="Symbol" w:hAnsi="Symbol" w:hint="default"/>
        <w:color w:val="4B4B59"/>
        <w:sz w:val="26"/>
        <w:szCs w:val="26"/>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07F60E33"/>
    <w:multiLevelType w:val="hybridMultilevel"/>
    <w:tmpl w:val="007E3046"/>
    <w:lvl w:ilvl="0" w:tplc="C7163F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693B27"/>
    <w:multiLevelType w:val="hybridMultilevel"/>
    <w:tmpl w:val="54F4794A"/>
    <w:lvl w:ilvl="0" w:tplc="0B4E2CD6">
      <w:start w:val="1"/>
      <w:numFmt w:val="bullet"/>
      <w:lvlText w:val="-"/>
      <w:lvlJc w:val="left"/>
      <w:pPr>
        <w:ind w:left="720" w:hanging="360"/>
      </w:pPr>
      <w:rPr>
        <w:rFonts w:ascii="Arial" w:eastAsia="Times New Roman" w:hAnsi="Aria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0A297A18"/>
    <w:multiLevelType w:val="hybridMultilevel"/>
    <w:tmpl w:val="5B1E11B6"/>
    <w:lvl w:ilvl="0" w:tplc="F090415C">
      <w:start w:val="1"/>
      <w:numFmt w:val="bullet"/>
      <w:lvlText w:val=""/>
      <w:lvlJc w:val="left"/>
      <w:pPr>
        <w:tabs>
          <w:tab w:val="num" w:pos="397"/>
        </w:tabs>
        <w:ind w:left="397" w:hanging="397"/>
      </w:pPr>
      <w:rPr>
        <w:rFonts w:ascii="Symbol" w:hAnsi="Symbol" w:hint="default"/>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9D5565"/>
    <w:multiLevelType w:val="multilevel"/>
    <w:tmpl w:val="6ED0BB4A"/>
    <w:lvl w:ilvl="0">
      <w:start w:val="1"/>
      <w:numFmt w:val="bullet"/>
      <w:lvlText w:val=""/>
      <w:lvlJc w:val="left"/>
      <w:pPr>
        <w:ind w:left="360" w:hanging="360"/>
      </w:pPr>
      <w:rPr>
        <w:rFonts w:ascii="Symbol" w:hAnsi="Symbol" w:hint="default"/>
        <w:color w:val="6988CB"/>
        <w:sz w:val="2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B560A7B"/>
    <w:multiLevelType w:val="hybridMultilevel"/>
    <w:tmpl w:val="9A286BDC"/>
    <w:lvl w:ilvl="0" w:tplc="F184DB66">
      <w:start w:val="1"/>
      <w:numFmt w:val="bullet"/>
      <w:lvlText w:val=""/>
      <w:lvlJc w:val="left"/>
      <w:pPr>
        <w:tabs>
          <w:tab w:val="num" w:pos="397"/>
        </w:tabs>
        <w:ind w:left="397" w:hanging="397"/>
      </w:pPr>
      <w:rPr>
        <w:rFonts w:ascii="Symbol" w:hAnsi="Symbol" w:hint="default"/>
        <w:sz w:val="20"/>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0F340261"/>
    <w:multiLevelType w:val="hybridMultilevel"/>
    <w:tmpl w:val="666A6A1E"/>
    <w:lvl w:ilvl="0" w:tplc="62E42C3C">
      <w:start w:val="1"/>
      <w:numFmt w:val="bullet"/>
      <w:pStyle w:val="Llistatambvinyeta"/>
      <w:lvlText w:val=""/>
      <w:lvlJc w:val="left"/>
      <w:pPr>
        <w:ind w:left="360" w:hanging="360"/>
      </w:pPr>
      <w:rPr>
        <w:rFonts w:ascii="Symbol" w:hAnsi="Symbol" w:hint="default"/>
        <w:color w:val="1D9E9E"/>
        <w:sz w:val="26"/>
        <w:szCs w:val="26"/>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B6D6371"/>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FFB1049"/>
    <w:multiLevelType w:val="hybridMultilevel"/>
    <w:tmpl w:val="F9469A8E"/>
    <w:lvl w:ilvl="0" w:tplc="0B4E2CD6">
      <w:start w:val="1"/>
      <w:numFmt w:val="bullet"/>
      <w:lvlText w:val="-"/>
      <w:lvlJc w:val="left"/>
      <w:pPr>
        <w:ind w:left="360" w:hanging="360"/>
      </w:pPr>
      <w:rPr>
        <w:rFonts w:ascii="Arial" w:eastAsia="Times New Roman" w:hAnsi="Aria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5DA4FCE"/>
    <w:multiLevelType w:val="hybridMultilevel"/>
    <w:tmpl w:val="A9FCCFDE"/>
    <w:lvl w:ilvl="0" w:tplc="0B4E2CD6">
      <w:start w:val="1"/>
      <w:numFmt w:val="bullet"/>
      <w:lvlText w:val="-"/>
      <w:lvlJc w:val="left"/>
      <w:pPr>
        <w:ind w:left="720" w:hanging="360"/>
      </w:pPr>
      <w:rPr>
        <w:rFonts w:ascii="Arial" w:eastAsia="Times New Roman" w:hAnsi="Arial" w:cs="Times New Roman" w:hint="default"/>
        <w:color w:val="1D9E9E"/>
        <w:sz w:val="26"/>
        <w:szCs w:val="26"/>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26FB1AB6"/>
    <w:multiLevelType w:val="hybridMultilevel"/>
    <w:tmpl w:val="D6C25180"/>
    <w:lvl w:ilvl="0" w:tplc="BE76596C">
      <w:start w:val="1"/>
      <w:numFmt w:val="bullet"/>
      <w:lvlText w:val=""/>
      <w:lvlJc w:val="left"/>
      <w:pPr>
        <w:ind w:left="360" w:hanging="360"/>
      </w:pPr>
      <w:rPr>
        <w:rFonts w:ascii="Symbol" w:hAnsi="Symbol" w:hint="default"/>
        <w:color w:val="46A472"/>
        <w:sz w:val="26"/>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3DCB44B1"/>
    <w:multiLevelType w:val="hybridMultilevel"/>
    <w:tmpl w:val="1D2C78C0"/>
    <w:lvl w:ilvl="0" w:tplc="0B4E2CD6">
      <w:start w:val="1"/>
      <w:numFmt w:val="bullet"/>
      <w:lvlText w:val="-"/>
      <w:lvlJc w:val="left"/>
      <w:pPr>
        <w:ind w:left="360" w:hanging="360"/>
      </w:pPr>
      <w:rPr>
        <w:rFonts w:ascii="Arial" w:eastAsia="Times New Roman" w:hAnsi="Aria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4643C9"/>
    <w:multiLevelType w:val="hybridMultilevel"/>
    <w:tmpl w:val="8D30E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900C00"/>
    <w:multiLevelType w:val="hybridMultilevel"/>
    <w:tmpl w:val="FE9A0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5296937"/>
    <w:multiLevelType w:val="hybridMultilevel"/>
    <w:tmpl w:val="26561150"/>
    <w:lvl w:ilvl="0" w:tplc="9782E5AC">
      <w:start w:val="1"/>
      <w:numFmt w:val="decimal"/>
      <w:lvlText w:val="%1."/>
      <w:lvlJc w:val="left"/>
      <w:pPr>
        <w:ind w:left="360" w:hanging="360"/>
      </w:pPr>
      <w:rPr>
        <w:rFonts w:hint="default"/>
        <w:color w:val="auto"/>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47B23E68"/>
    <w:multiLevelType w:val="hybridMultilevel"/>
    <w:tmpl w:val="94D096C8"/>
    <w:lvl w:ilvl="0" w:tplc="CCA20600">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4D1432E2"/>
    <w:multiLevelType w:val="hybridMultilevel"/>
    <w:tmpl w:val="AA82AA38"/>
    <w:lvl w:ilvl="0" w:tplc="C672A25E">
      <w:start w:val="1"/>
      <w:numFmt w:val="bullet"/>
      <w:lvlText w:val="–"/>
      <w:lvlJc w:val="left"/>
      <w:pPr>
        <w:ind w:left="360" w:hanging="360"/>
      </w:pPr>
      <w:rPr>
        <w:rFonts w:ascii="Cambria" w:hAnsi="Cambria" w:hint="default"/>
        <w:color w:val="auto"/>
        <w:sz w:val="20"/>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6D0515D9"/>
    <w:multiLevelType w:val="multilevel"/>
    <w:tmpl w:val="826E4698"/>
    <w:lvl w:ilvl="0">
      <w:start w:val="1"/>
      <w:numFmt w:val="bullet"/>
      <w:lvlText w:val=""/>
      <w:lvlJc w:val="left"/>
      <w:pPr>
        <w:ind w:left="360" w:hanging="360"/>
      </w:pPr>
      <w:rPr>
        <w:rFonts w:ascii="Symbol" w:hAnsi="Symbol" w:hint="default"/>
        <w:color w:val="595959"/>
        <w:sz w:val="2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0E957A0"/>
    <w:multiLevelType w:val="multilevel"/>
    <w:tmpl w:val="826E4698"/>
    <w:lvl w:ilvl="0">
      <w:start w:val="1"/>
      <w:numFmt w:val="bullet"/>
      <w:lvlText w:val=""/>
      <w:lvlJc w:val="left"/>
      <w:pPr>
        <w:ind w:left="360" w:hanging="360"/>
      </w:pPr>
      <w:rPr>
        <w:rFonts w:ascii="Symbol" w:hAnsi="Symbol" w:hint="default"/>
        <w:color w:val="595959"/>
        <w:sz w:val="2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2B84825"/>
    <w:multiLevelType w:val="hybridMultilevel"/>
    <w:tmpl w:val="1166EF44"/>
    <w:lvl w:ilvl="0" w:tplc="0B4E2CD6">
      <w:start w:val="1"/>
      <w:numFmt w:val="bullet"/>
      <w:lvlText w:val="-"/>
      <w:lvlJc w:val="left"/>
      <w:pPr>
        <w:ind w:left="360" w:hanging="360"/>
      </w:pPr>
      <w:rPr>
        <w:rFonts w:ascii="Arial" w:eastAsia="Times New Roman" w:hAnsi="Aria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42155F0"/>
    <w:multiLevelType w:val="hybridMultilevel"/>
    <w:tmpl w:val="A22AC7A8"/>
    <w:lvl w:ilvl="0" w:tplc="1B165B0A">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4" w15:restartNumberingAfterBreak="0">
    <w:nsid w:val="76CC328C"/>
    <w:multiLevelType w:val="hybridMultilevel"/>
    <w:tmpl w:val="AF40AA0C"/>
    <w:lvl w:ilvl="0" w:tplc="BC9C5B2E">
      <w:start w:val="1"/>
      <w:numFmt w:val="bullet"/>
      <w:lvlText w:val="-"/>
      <w:lvlJc w:val="left"/>
      <w:pPr>
        <w:ind w:left="360" w:hanging="360"/>
      </w:pPr>
      <w:rPr>
        <w:rFonts w:ascii="Verdana" w:hAnsi="Verdana" w:hint="default"/>
        <w:color w:val="auto"/>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15:restartNumberingAfterBreak="0">
    <w:nsid w:val="7C825E99"/>
    <w:multiLevelType w:val="hybridMultilevel"/>
    <w:tmpl w:val="B53C2FCA"/>
    <w:lvl w:ilvl="0" w:tplc="C52A6536">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16"/>
  </w:num>
  <w:num w:numId="2">
    <w:abstractNumId w:val="27"/>
  </w:num>
  <w:num w:numId="3">
    <w:abstractNumId w:val="33"/>
  </w:num>
  <w:num w:numId="4">
    <w:abstractNumId w:val="34"/>
  </w:num>
  <w:num w:numId="5">
    <w:abstractNumId w:val="19"/>
  </w:num>
  <w:num w:numId="6">
    <w:abstractNumId w:val="23"/>
  </w:num>
  <w:num w:numId="7">
    <w:abstractNumId w:val="13"/>
  </w:num>
  <w:num w:numId="8">
    <w:abstractNumId w:val="30"/>
  </w:num>
  <w:num w:numId="9">
    <w:abstractNumId w:val="4"/>
  </w:num>
  <w:num w:numId="10">
    <w:abstractNumId w:val="3"/>
  </w:num>
  <w:num w:numId="11">
    <w:abstractNumId w:val="2"/>
  </w:num>
  <w:num w:numId="12">
    <w:abstractNumId w:val="1"/>
  </w:num>
  <w:num w:numId="13">
    <w:abstractNumId w:val="10"/>
  </w:num>
  <w:num w:numId="14">
    <w:abstractNumId w:val="8"/>
  </w:num>
  <w:num w:numId="15">
    <w:abstractNumId w:val="7"/>
  </w:num>
  <w:num w:numId="16">
    <w:abstractNumId w:val="6"/>
  </w:num>
  <w:num w:numId="17">
    <w:abstractNumId w:val="5"/>
  </w:num>
  <w:num w:numId="18">
    <w:abstractNumId w:val="0"/>
  </w:num>
  <w:num w:numId="19">
    <w:abstractNumId w:val="18"/>
  </w:num>
  <w:num w:numId="20">
    <w:abstractNumId w:val="35"/>
  </w:num>
  <w:num w:numId="21">
    <w:abstractNumId w:val="28"/>
  </w:num>
  <w:num w:numId="22">
    <w:abstractNumId w:val="16"/>
  </w:num>
  <w:num w:numId="23">
    <w:abstractNumId w:val="19"/>
  </w:num>
  <w:num w:numId="24">
    <w:abstractNumId w:val="13"/>
  </w:num>
  <w:num w:numId="25">
    <w:abstractNumId w:val="23"/>
  </w:num>
  <w:num w:numId="26">
    <w:abstractNumId w:val="27"/>
  </w:num>
  <w:num w:numId="27">
    <w:abstractNumId w:val="17"/>
  </w:num>
  <w:num w:numId="28">
    <w:abstractNumId w:val="31"/>
  </w:num>
  <w:num w:numId="29">
    <w:abstractNumId w:val="20"/>
  </w:num>
  <w:num w:numId="30">
    <w:abstractNumId w:val="9"/>
  </w:num>
  <w:num w:numId="31">
    <w:abstractNumId w:val="15"/>
  </w:num>
  <w:num w:numId="32">
    <w:abstractNumId w:val="29"/>
  </w:num>
  <w:num w:numId="33">
    <w:abstractNumId w:val="11"/>
  </w:num>
  <w:num w:numId="34">
    <w:abstractNumId w:val="26"/>
  </w:num>
  <w:num w:numId="35">
    <w:abstractNumId w:val="19"/>
  </w:num>
  <w:num w:numId="36">
    <w:abstractNumId w:val="12"/>
  </w:num>
  <w:num w:numId="37">
    <w:abstractNumId w:val="24"/>
  </w:num>
  <w:num w:numId="38">
    <w:abstractNumId w:val="22"/>
  </w:num>
  <w:num w:numId="39">
    <w:abstractNumId w:val="21"/>
  </w:num>
  <w:num w:numId="40">
    <w:abstractNumId w:val="14"/>
  </w:num>
  <w:num w:numId="41">
    <w:abstractNumId w:val="32"/>
  </w:num>
  <w:num w:numId="42">
    <w:abstractNumId w:val="19"/>
  </w:num>
  <w:num w:numId="43">
    <w:abstractNumId w:val="25"/>
  </w:num>
  <w:num w:numId="44">
    <w:abstractNumId w:val="19"/>
  </w:num>
  <w:num w:numId="45">
    <w:abstractNumId w:val="19"/>
  </w:num>
  <w:num w:numId="46">
    <w:abstractNumId w:val="19"/>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09"/>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 w:name="PublishingViewTables" w:val="0"/>
  </w:docVars>
  <w:rsids>
    <w:rsidRoot w:val="00736BA9"/>
    <w:rsid w:val="00003218"/>
    <w:rsid w:val="0000346D"/>
    <w:rsid w:val="0000629D"/>
    <w:rsid w:val="00007AE7"/>
    <w:rsid w:val="00020CD6"/>
    <w:rsid w:val="00027277"/>
    <w:rsid w:val="0003041C"/>
    <w:rsid w:val="000328BD"/>
    <w:rsid w:val="00037ED4"/>
    <w:rsid w:val="00042FB5"/>
    <w:rsid w:val="000544AF"/>
    <w:rsid w:val="00057598"/>
    <w:rsid w:val="0006270B"/>
    <w:rsid w:val="000668CE"/>
    <w:rsid w:val="000714F7"/>
    <w:rsid w:val="00071D06"/>
    <w:rsid w:val="000776DA"/>
    <w:rsid w:val="000952F9"/>
    <w:rsid w:val="000A1CBD"/>
    <w:rsid w:val="000A44DC"/>
    <w:rsid w:val="000A7B75"/>
    <w:rsid w:val="000B0218"/>
    <w:rsid w:val="000B0439"/>
    <w:rsid w:val="000B4EF0"/>
    <w:rsid w:val="000D0299"/>
    <w:rsid w:val="000D0AC9"/>
    <w:rsid w:val="000D5702"/>
    <w:rsid w:val="000E2C7C"/>
    <w:rsid w:val="000E5A15"/>
    <w:rsid w:val="000F61D9"/>
    <w:rsid w:val="00101EAF"/>
    <w:rsid w:val="00103BA8"/>
    <w:rsid w:val="001040EB"/>
    <w:rsid w:val="001053AC"/>
    <w:rsid w:val="00107CFD"/>
    <w:rsid w:val="00115D31"/>
    <w:rsid w:val="00120C16"/>
    <w:rsid w:val="0012684F"/>
    <w:rsid w:val="00130B07"/>
    <w:rsid w:val="00132D92"/>
    <w:rsid w:val="00133243"/>
    <w:rsid w:val="001349FF"/>
    <w:rsid w:val="001357C6"/>
    <w:rsid w:val="0014277F"/>
    <w:rsid w:val="00144BD1"/>
    <w:rsid w:val="00150C24"/>
    <w:rsid w:val="001522DE"/>
    <w:rsid w:val="00154BEE"/>
    <w:rsid w:val="00161ED1"/>
    <w:rsid w:val="00162A88"/>
    <w:rsid w:val="001719DA"/>
    <w:rsid w:val="00183929"/>
    <w:rsid w:val="001944B2"/>
    <w:rsid w:val="001A69BB"/>
    <w:rsid w:val="001A6C55"/>
    <w:rsid w:val="001A7EE3"/>
    <w:rsid w:val="001B41D3"/>
    <w:rsid w:val="001B47D6"/>
    <w:rsid w:val="001C0CB9"/>
    <w:rsid w:val="001C385B"/>
    <w:rsid w:val="001D0BC9"/>
    <w:rsid w:val="001D1EA3"/>
    <w:rsid w:val="001D215B"/>
    <w:rsid w:val="001D362B"/>
    <w:rsid w:val="001F166A"/>
    <w:rsid w:val="001F4562"/>
    <w:rsid w:val="001F57E9"/>
    <w:rsid w:val="00211375"/>
    <w:rsid w:val="0021142C"/>
    <w:rsid w:val="00213EDD"/>
    <w:rsid w:val="0021729E"/>
    <w:rsid w:val="002176A6"/>
    <w:rsid w:val="00221364"/>
    <w:rsid w:val="002216E8"/>
    <w:rsid w:val="00224A1C"/>
    <w:rsid w:val="00227268"/>
    <w:rsid w:val="00227F2B"/>
    <w:rsid w:val="00231AAE"/>
    <w:rsid w:val="002326A9"/>
    <w:rsid w:val="00232D9E"/>
    <w:rsid w:val="00240AAB"/>
    <w:rsid w:val="00247535"/>
    <w:rsid w:val="002475FA"/>
    <w:rsid w:val="00251E39"/>
    <w:rsid w:val="002541FB"/>
    <w:rsid w:val="00257773"/>
    <w:rsid w:val="00265AB1"/>
    <w:rsid w:val="002706C1"/>
    <w:rsid w:val="00273AB7"/>
    <w:rsid w:val="00273CC9"/>
    <w:rsid w:val="00273CE2"/>
    <w:rsid w:val="002746FD"/>
    <w:rsid w:val="00276E89"/>
    <w:rsid w:val="002809CB"/>
    <w:rsid w:val="00283D1C"/>
    <w:rsid w:val="00284109"/>
    <w:rsid w:val="0029780E"/>
    <w:rsid w:val="002A0C02"/>
    <w:rsid w:val="002A115E"/>
    <w:rsid w:val="002A299E"/>
    <w:rsid w:val="002A475E"/>
    <w:rsid w:val="002A59B7"/>
    <w:rsid w:val="002A5CCF"/>
    <w:rsid w:val="002B0784"/>
    <w:rsid w:val="002B0E4D"/>
    <w:rsid w:val="002B2B14"/>
    <w:rsid w:val="002C0AF0"/>
    <w:rsid w:val="002C0B41"/>
    <w:rsid w:val="002D00D2"/>
    <w:rsid w:val="002D144C"/>
    <w:rsid w:val="002D3279"/>
    <w:rsid w:val="002D3D04"/>
    <w:rsid w:val="002E20DB"/>
    <w:rsid w:val="002E2135"/>
    <w:rsid w:val="002E6D9D"/>
    <w:rsid w:val="002F4919"/>
    <w:rsid w:val="002F51B5"/>
    <w:rsid w:val="002F6D9E"/>
    <w:rsid w:val="002F7350"/>
    <w:rsid w:val="00305D5B"/>
    <w:rsid w:val="003073D2"/>
    <w:rsid w:val="003139F3"/>
    <w:rsid w:val="00314790"/>
    <w:rsid w:val="0032140A"/>
    <w:rsid w:val="0032198E"/>
    <w:rsid w:val="00330F98"/>
    <w:rsid w:val="00337FC0"/>
    <w:rsid w:val="00340EC0"/>
    <w:rsid w:val="003513A9"/>
    <w:rsid w:val="003525B8"/>
    <w:rsid w:val="00352C45"/>
    <w:rsid w:val="003554E3"/>
    <w:rsid w:val="00355725"/>
    <w:rsid w:val="0036033D"/>
    <w:rsid w:val="00363969"/>
    <w:rsid w:val="00363AEE"/>
    <w:rsid w:val="00365781"/>
    <w:rsid w:val="00365C6B"/>
    <w:rsid w:val="003673A0"/>
    <w:rsid w:val="00380867"/>
    <w:rsid w:val="00381DEB"/>
    <w:rsid w:val="00384E53"/>
    <w:rsid w:val="00387F70"/>
    <w:rsid w:val="00390145"/>
    <w:rsid w:val="003962FE"/>
    <w:rsid w:val="003A134F"/>
    <w:rsid w:val="003A66CA"/>
    <w:rsid w:val="003B0E92"/>
    <w:rsid w:val="003B2913"/>
    <w:rsid w:val="003B2CB7"/>
    <w:rsid w:val="003B4100"/>
    <w:rsid w:val="003B64EC"/>
    <w:rsid w:val="003B6C3B"/>
    <w:rsid w:val="003B7B8B"/>
    <w:rsid w:val="003C17CA"/>
    <w:rsid w:val="003C21CB"/>
    <w:rsid w:val="003C294B"/>
    <w:rsid w:val="003C5005"/>
    <w:rsid w:val="003C74BE"/>
    <w:rsid w:val="003D06FF"/>
    <w:rsid w:val="003D2E98"/>
    <w:rsid w:val="003D49CD"/>
    <w:rsid w:val="003D7273"/>
    <w:rsid w:val="003E4D27"/>
    <w:rsid w:val="003E6974"/>
    <w:rsid w:val="003E70E9"/>
    <w:rsid w:val="003F4486"/>
    <w:rsid w:val="003F5220"/>
    <w:rsid w:val="00400834"/>
    <w:rsid w:val="00403E42"/>
    <w:rsid w:val="004046EB"/>
    <w:rsid w:val="00405476"/>
    <w:rsid w:val="004062E4"/>
    <w:rsid w:val="00406E28"/>
    <w:rsid w:val="00411263"/>
    <w:rsid w:val="0041249B"/>
    <w:rsid w:val="00412A7C"/>
    <w:rsid w:val="00417A80"/>
    <w:rsid w:val="0042423D"/>
    <w:rsid w:val="00425960"/>
    <w:rsid w:val="00432045"/>
    <w:rsid w:val="0044489E"/>
    <w:rsid w:val="00444A41"/>
    <w:rsid w:val="004462CC"/>
    <w:rsid w:val="00447C83"/>
    <w:rsid w:val="00447CCD"/>
    <w:rsid w:val="00451700"/>
    <w:rsid w:val="00452214"/>
    <w:rsid w:val="00452CDC"/>
    <w:rsid w:val="00453711"/>
    <w:rsid w:val="00466E9F"/>
    <w:rsid w:val="0046799B"/>
    <w:rsid w:val="004711D0"/>
    <w:rsid w:val="0047212A"/>
    <w:rsid w:val="00473859"/>
    <w:rsid w:val="00477DE7"/>
    <w:rsid w:val="00477EB6"/>
    <w:rsid w:val="00483F48"/>
    <w:rsid w:val="00491C55"/>
    <w:rsid w:val="00492B4C"/>
    <w:rsid w:val="0049346A"/>
    <w:rsid w:val="004967D6"/>
    <w:rsid w:val="004968A2"/>
    <w:rsid w:val="004A247A"/>
    <w:rsid w:val="004A33F5"/>
    <w:rsid w:val="004A452A"/>
    <w:rsid w:val="004A6470"/>
    <w:rsid w:val="004A7137"/>
    <w:rsid w:val="004B2E62"/>
    <w:rsid w:val="004B522D"/>
    <w:rsid w:val="004C0BAF"/>
    <w:rsid w:val="004C28F9"/>
    <w:rsid w:val="004D0B6A"/>
    <w:rsid w:val="004D22DE"/>
    <w:rsid w:val="004D4B74"/>
    <w:rsid w:val="004E1CCE"/>
    <w:rsid w:val="004E4323"/>
    <w:rsid w:val="004E605D"/>
    <w:rsid w:val="004F14F8"/>
    <w:rsid w:val="004F16B5"/>
    <w:rsid w:val="004F5D38"/>
    <w:rsid w:val="005004F3"/>
    <w:rsid w:val="00500E15"/>
    <w:rsid w:val="00504C43"/>
    <w:rsid w:val="0050668F"/>
    <w:rsid w:val="005067C0"/>
    <w:rsid w:val="005111BC"/>
    <w:rsid w:val="005122ED"/>
    <w:rsid w:val="005147C9"/>
    <w:rsid w:val="005152DA"/>
    <w:rsid w:val="005157C1"/>
    <w:rsid w:val="00516E85"/>
    <w:rsid w:val="00520C0B"/>
    <w:rsid w:val="00523E7C"/>
    <w:rsid w:val="00524B57"/>
    <w:rsid w:val="00524F10"/>
    <w:rsid w:val="005268C1"/>
    <w:rsid w:val="0052696E"/>
    <w:rsid w:val="00530449"/>
    <w:rsid w:val="00530E44"/>
    <w:rsid w:val="005538A2"/>
    <w:rsid w:val="00553DC2"/>
    <w:rsid w:val="00553F41"/>
    <w:rsid w:val="0055653E"/>
    <w:rsid w:val="00562713"/>
    <w:rsid w:val="00563178"/>
    <w:rsid w:val="005638BB"/>
    <w:rsid w:val="00565F21"/>
    <w:rsid w:val="00567A3D"/>
    <w:rsid w:val="00571A18"/>
    <w:rsid w:val="00573CE8"/>
    <w:rsid w:val="00574B01"/>
    <w:rsid w:val="005763B9"/>
    <w:rsid w:val="00585CA9"/>
    <w:rsid w:val="005927D7"/>
    <w:rsid w:val="00594505"/>
    <w:rsid w:val="005A2C0A"/>
    <w:rsid w:val="005A2D06"/>
    <w:rsid w:val="005A3F0A"/>
    <w:rsid w:val="005B3944"/>
    <w:rsid w:val="005B43D5"/>
    <w:rsid w:val="005B472D"/>
    <w:rsid w:val="005B5C9F"/>
    <w:rsid w:val="005B65CD"/>
    <w:rsid w:val="005B6869"/>
    <w:rsid w:val="005C2001"/>
    <w:rsid w:val="005C39E3"/>
    <w:rsid w:val="005D49B1"/>
    <w:rsid w:val="005D636B"/>
    <w:rsid w:val="005D7A4B"/>
    <w:rsid w:val="005E098E"/>
    <w:rsid w:val="005E159B"/>
    <w:rsid w:val="005E4099"/>
    <w:rsid w:val="005E4523"/>
    <w:rsid w:val="005E53E4"/>
    <w:rsid w:val="005F34C5"/>
    <w:rsid w:val="005F713D"/>
    <w:rsid w:val="00601F18"/>
    <w:rsid w:val="00605FDD"/>
    <w:rsid w:val="00610A28"/>
    <w:rsid w:val="00613103"/>
    <w:rsid w:val="00613BF0"/>
    <w:rsid w:val="00620CE4"/>
    <w:rsid w:val="00640260"/>
    <w:rsid w:val="006411B1"/>
    <w:rsid w:val="006412FD"/>
    <w:rsid w:val="00643561"/>
    <w:rsid w:val="0065361B"/>
    <w:rsid w:val="00657105"/>
    <w:rsid w:val="00657844"/>
    <w:rsid w:val="006614B9"/>
    <w:rsid w:val="0066557D"/>
    <w:rsid w:val="006742BC"/>
    <w:rsid w:val="00674616"/>
    <w:rsid w:val="00675197"/>
    <w:rsid w:val="00675931"/>
    <w:rsid w:val="00675C16"/>
    <w:rsid w:val="0067741F"/>
    <w:rsid w:val="0068301A"/>
    <w:rsid w:val="00686115"/>
    <w:rsid w:val="0068791A"/>
    <w:rsid w:val="00687C87"/>
    <w:rsid w:val="006A0B07"/>
    <w:rsid w:val="006A58A4"/>
    <w:rsid w:val="006B02D9"/>
    <w:rsid w:val="006B094E"/>
    <w:rsid w:val="006B2631"/>
    <w:rsid w:val="006B3F39"/>
    <w:rsid w:val="006C2017"/>
    <w:rsid w:val="006C2D17"/>
    <w:rsid w:val="006C5995"/>
    <w:rsid w:val="006C7953"/>
    <w:rsid w:val="006D410A"/>
    <w:rsid w:val="006D5C0E"/>
    <w:rsid w:val="006D5EB2"/>
    <w:rsid w:val="006D6B58"/>
    <w:rsid w:val="006E0495"/>
    <w:rsid w:val="006F3848"/>
    <w:rsid w:val="006F7021"/>
    <w:rsid w:val="007044F3"/>
    <w:rsid w:val="0070512F"/>
    <w:rsid w:val="00713AB0"/>
    <w:rsid w:val="00720B42"/>
    <w:rsid w:val="00721080"/>
    <w:rsid w:val="007239BE"/>
    <w:rsid w:val="00724662"/>
    <w:rsid w:val="007309DA"/>
    <w:rsid w:val="00732D66"/>
    <w:rsid w:val="007348E3"/>
    <w:rsid w:val="00734D6E"/>
    <w:rsid w:val="007350AE"/>
    <w:rsid w:val="00736BA9"/>
    <w:rsid w:val="00741CBC"/>
    <w:rsid w:val="00743857"/>
    <w:rsid w:val="00746F7C"/>
    <w:rsid w:val="00750BF6"/>
    <w:rsid w:val="00750DD1"/>
    <w:rsid w:val="00752002"/>
    <w:rsid w:val="00752841"/>
    <w:rsid w:val="0076563D"/>
    <w:rsid w:val="00765BA6"/>
    <w:rsid w:val="00770145"/>
    <w:rsid w:val="00772265"/>
    <w:rsid w:val="0078022D"/>
    <w:rsid w:val="00780B74"/>
    <w:rsid w:val="0078191F"/>
    <w:rsid w:val="0078437E"/>
    <w:rsid w:val="00785B00"/>
    <w:rsid w:val="00786208"/>
    <w:rsid w:val="007869F9"/>
    <w:rsid w:val="00786DE3"/>
    <w:rsid w:val="00794629"/>
    <w:rsid w:val="00794EBD"/>
    <w:rsid w:val="007A0848"/>
    <w:rsid w:val="007A55FF"/>
    <w:rsid w:val="007B6709"/>
    <w:rsid w:val="007C12F9"/>
    <w:rsid w:val="007C24BE"/>
    <w:rsid w:val="007C30E8"/>
    <w:rsid w:val="007C6D9F"/>
    <w:rsid w:val="007C6F19"/>
    <w:rsid w:val="007D01A5"/>
    <w:rsid w:val="007D09C8"/>
    <w:rsid w:val="007D1816"/>
    <w:rsid w:val="007D5244"/>
    <w:rsid w:val="007E0E3A"/>
    <w:rsid w:val="007E58AB"/>
    <w:rsid w:val="007F2DC8"/>
    <w:rsid w:val="008009A0"/>
    <w:rsid w:val="008012DC"/>
    <w:rsid w:val="0080310D"/>
    <w:rsid w:val="00803B0D"/>
    <w:rsid w:val="00805EB2"/>
    <w:rsid w:val="008100F6"/>
    <w:rsid w:val="0081037B"/>
    <w:rsid w:val="008119D1"/>
    <w:rsid w:val="008120D7"/>
    <w:rsid w:val="00812C58"/>
    <w:rsid w:val="008156EE"/>
    <w:rsid w:val="008200DD"/>
    <w:rsid w:val="00820738"/>
    <w:rsid w:val="008208C2"/>
    <w:rsid w:val="008237EB"/>
    <w:rsid w:val="00826072"/>
    <w:rsid w:val="0083163E"/>
    <w:rsid w:val="00835DCA"/>
    <w:rsid w:val="00836027"/>
    <w:rsid w:val="008379AD"/>
    <w:rsid w:val="00843178"/>
    <w:rsid w:val="00843796"/>
    <w:rsid w:val="008445D4"/>
    <w:rsid w:val="00845FAC"/>
    <w:rsid w:val="0084699A"/>
    <w:rsid w:val="00850DB7"/>
    <w:rsid w:val="00850DDA"/>
    <w:rsid w:val="008544E6"/>
    <w:rsid w:val="00854983"/>
    <w:rsid w:val="008561FF"/>
    <w:rsid w:val="00856D69"/>
    <w:rsid w:val="00857325"/>
    <w:rsid w:val="00862CC1"/>
    <w:rsid w:val="00865BCB"/>
    <w:rsid w:val="00866984"/>
    <w:rsid w:val="008676D7"/>
    <w:rsid w:val="00867C50"/>
    <w:rsid w:val="00872AB3"/>
    <w:rsid w:val="00873531"/>
    <w:rsid w:val="00873F41"/>
    <w:rsid w:val="00875700"/>
    <w:rsid w:val="008771CD"/>
    <w:rsid w:val="008836C9"/>
    <w:rsid w:val="00891C8B"/>
    <w:rsid w:val="008978D2"/>
    <w:rsid w:val="008A53AA"/>
    <w:rsid w:val="008B0C06"/>
    <w:rsid w:val="008B4D25"/>
    <w:rsid w:val="008B5B83"/>
    <w:rsid w:val="008C3E67"/>
    <w:rsid w:val="008C7525"/>
    <w:rsid w:val="008D231E"/>
    <w:rsid w:val="008D39A5"/>
    <w:rsid w:val="008D5436"/>
    <w:rsid w:val="008D79AD"/>
    <w:rsid w:val="008D7B76"/>
    <w:rsid w:val="008E678D"/>
    <w:rsid w:val="008F5267"/>
    <w:rsid w:val="00902EAA"/>
    <w:rsid w:val="00910469"/>
    <w:rsid w:val="00912882"/>
    <w:rsid w:val="00913252"/>
    <w:rsid w:val="00913585"/>
    <w:rsid w:val="009164E2"/>
    <w:rsid w:val="00922932"/>
    <w:rsid w:val="0092536B"/>
    <w:rsid w:val="00927CA4"/>
    <w:rsid w:val="009345FA"/>
    <w:rsid w:val="0094001B"/>
    <w:rsid w:val="0094099E"/>
    <w:rsid w:val="0094195A"/>
    <w:rsid w:val="00945958"/>
    <w:rsid w:val="00946F5D"/>
    <w:rsid w:val="009472CB"/>
    <w:rsid w:val="00953945"/>
    <w:rsid w:val="0096174E"/>
    <w:rsid w:val="00964110"/>
    <w:rsid w:val="00970042"/>
    <w:rsid w:val="00970C27"/>
    <w:rsid w:val="00971607"/>
    <w:rsid w:val="00974C10"/>
    <w:rsid w:val="009849B6"/>
    <w:rsid w:val="00985834"/>
    <w:rsid w:val="009862DB"/>
    <w:rsid w:val="00987F36"/>
    <w:rsid w:val="00991891"/>
    <w:rsid w:val="00992986"/>
    <w:rsid w:val="00993CFE"/>
    <w:rsid w:val="00993E03"/>
    <w:rsid w:val="00995F36"/>
    <w:rsid w:val="00996C64"/>
    <w:rsid w:val="009A078B"/>
    <w:rsid w:val="009A2585"/>
    <w:rsid w:val="009B3E37"/>
    <w:rsid w:val="009B5718"/>
    <w:rsid w:val="009B6A23"/>
    <w:rsid w:val="009C13C8"/>
    <w:rsid w:val="009D0DE8"/>
    <w:rsid w:val="009D1914"/>
    <w:rsid w:val="009D2577"/>
    <w:rsid w:val="009D4844"/>
    <w:rsid w:val="009E00E4"/>
    <w:rsid w:val="009E2989"/>
    <w:rsid w:val="009E5412"/>
    <w:rsid w:val="009F0C00"/>
    <w:rsid w:val="009F7DD4"/>
    <w:rsid w:val="009F7F59"/>
    <w:rsid w:val="00A00E42"/>
    <w:rsid w:val="00A1155D"/>
    <w:rsid w:val="00A1276A"/>
    <w:rsid w:val="00A21A0A"/>
    <w:rsid w:val="00A25AFB"/>
    <w:rsid w:val="00A4161F"/>
    <w:rsid w:val="00A47DE6"/>
    <w:rsid w:val="00A51908"/>
    <w:rsid w:val="00A54FBC"/>
    <w:rsid w:val="00A57656"/>
    <w:rsid w:val="00A64386"/>
    <w:rsid w:val="00A65293"/>
    <w:rsid w:val="00A65839"/>
    <w:rsid w:val="00A664DF"/>
    <w:rsid w:val="00A7130C"/>
    <w:rsid w:val="00A75655"/>
    <w:rsid w:val="00A80042"/>
    <w:rsid w:val="00A80278"/>
    <w:rsid w:val="00A8265A"/>
    <w:rsid w:val="00A842EA"/>
    <w:rsid w:val="00A85158"/>
    <w:rsid w:val="00A85572"/>
    <w:rsid w:val="00A871CD"/>
    <w:rsid w:val="00A90230"/>
    <w:rsid w:val="00A9059D"/>
    <w:rsid w:val="00A9207D"/>
    <w:rsid w:val="00A94004"/>
    <w:rsid w:val="00AB34C4"/>
    <w:rsid w:val="00AB59A1"/>
    <w:rsid w:val="00AB638D"/>
    <w:rsid w:val="00AB74C6"/>
    <w:rsid w:val="00AC0993"/>
    <w:rsid w:val="00AC62BA"/>
    <w:rsid w:val="00AC661B"/>
    <w:rsid w:val="00AD0832"/>
    <w:rsid w:val="00AD4C18"/>
    <w:rsid w:val="00AE1505"/>
    <w:rsid w:val="00AE1E97"/>
    <w:rsid w:val="00AE33F4"/>
    <w:rsid w:val="00AE402A"/>
    <w:rsid w:val="00AF0A75"/>
    <w:rsid w:val="00B020F5"/>
    <w:rsid w:val="00B036FA"/>
    <w:rsid w:val="00B04D8F"/>
    <w:rsid w:val="00B07E3B"/>
    <w:rsid w:val="00B12D05"/>
    <w:rsid w:val="00B16A9E"/>
    <w:rsid w:val="00B17958"/>
    <w:rsid w:val="00B215FB"/>
    <w:rsid w:val="00B217AD"/>
    <w:rsid w:val="00B27C1B"/>
    <w:rsid w:val="00B377E2"/>
    <w:rsid w:val="00B40706"/>
    <w:rsid w:val="00B4316E"/>
    <w:rsid w:val="00B43E84"/>
    <w:rsid w:val="00B46770"/>
    <w:rsid w:val="00B51B1D"/>
    <w:rsid w:val="00B52C69"/>
    <w:rsid w:val="00B535C1"/>
    <w:rsid w:val="00B54BB3"/>
    <w:rsid w:val="00B55B94"/>
    <w:rsid w:val="00B62560"/>
    <w:rsid w:val="00B638D2"/>
    <w:rsid w:val="00B66A42"/>
    <w:rsid w:val="00B71884"/>
    <w:rsid w:val="00B727D3"/>
    <w:rsid w:val="00B72A32"/>
    <w:rsid w:val="00B7785F"/>
    <w:rsid w:val="00B8133F"/>
    <w:rsid w:val="00B81489"/>
    <w:rsid w:val="00B81F2C"/>
    <w:rsid w:val="00B875DE"/>
    <w:rsid w:val="00B87979"/>
    <w:rsid w:val="00B87A64"/>
    <w:rsid w:val="00B9163A"/>
    <w:rsid w:val="00B9534A"/>
    <w:rsid w:val="00B96376"/>
    <w:rsid w:val="00B96C1E"/>
    <w:rsid w:val="00B96EEB"/>
    <w:rsid w:val="00B971C7"/>
    <w:rsid w:val="00B971CB"/>
    <w:rsid w:val="00B97CB0"/>
    <w:rsid w:val="00BA180A"/>
    <w:rsid w:val="00BA3F2F"/>
    <w:rsid w:val="00BA7457"/>
    <w:rsid w:val="00BA7FED"/>
    <w:rsid w:val="00BB1951"/>
    <w:rsid w:val="00BB1C7C"/>
    <w:rsid w:val="00BB37A4"/>
    <w:rsid w:val="00BB3C18"/>
    <w:rsid w:val="00BB6936"/>
    <w:rsid w:val="00BC14D8"/>
    <w:rsid w:val="00BC33E0"/>
    <w:rsid w:val="00BC5088"/>
    <w:rsid w:val="00BD594D"/>
    <w:rsid w:val="00BE5FBE"/>
    <w:rsid w:val="00BE77B9"/>
    <w:rsid w:val="00BF29B4"/>
    <w:rsid w:val="00BF4A3D"/>
    <w:rsid w:val="00BF57A5"/>
    <w:rsid w:val="00BF58A5"/>
    <w:rsid w:val="00BF600B"/>
    <w:rsid w:val="00BF72B6"/>
    <w:rsid w:val="00C04174"/>
    <w:rsid w:val="00C1112F"/>
    <w:rsid w:val="00C112BE"/>
    <w:rsid w:val="00C12EF8"/>
    <w:rsid w:val="00C1750F"/>
    <w:rsid w:val="00C20979"/>
    <w:rsid w:val="00C20E93"/>
    <w:rsid w:val="00C21078"/>
    <w:rsid w:val="00C259AF"/>
    <w:rsid w:val="00C26DDE"/>
    <w:rsid w:val="00C27593"/>
    <w:rsid w:val="00C318D4"/>
    <w:rsid w:val="00C3385C"/>
    <w:rsid w:val="00C34140"/>
    <w:rsid w:val="00C377E7"/>
    <w:rsid w:val="00C40AF5"/>
    <w:rsid w:val="00C44E5B"/>
    <w:rsid w:val="00C46DB1"/>
    <w:rsid w:val="00C509A4"/>
    <w:rsid w:val="00C50E36"/>
    <w:rsid w:val="00C512A7"/>
    <w:rsid w:val="00C56E28"/>
    <w:rsid w:val="00C64297"/>
    <w:rsid w:val="00C643FF"/>
    <w:rsid w:val="00C67453"/>
    <w:rsid w:val="00C8313E"/>
    <w:rsid w:val="00C8436F"/>
    <w:rsid w:val="00C872D4"/>
    <w:rsid w:val="00C87CBC"/>
    <w:rsid w:val="00CA5571"/>
    <w:rsid w:val="00CB381A"/>
    <w:rsid w:val="00CB5584"/>
    <w:rsid w:val="00CC0386"/>
    <w:rsid w:val="00CC1394"/>
    <w:rsid w:val="00CC4737"/>
    <w:rsid w:val="00CD1692"/>
    <w:rsid w:val="00CD5EB1"/>
    <w:rsid w:val="00CD7826"/>
    <w:rsid w:val="00CE76AB"/>
    <w:rsid w:val="00CF01B0"/>
    <w:rsid w:val="00CF035C"/>
    <w:rsid w:val="00CF1523"/>
    <w:rsid w:val="00CF6B9D"/>
    <w:rsid w:val="00D0016F"/>
    <w:rsid w:val="00D1199C"/>
    <w:rsid w:val="00D15ABD"/>
    <w:rsid w:val="00D17480"/>
    <w:rsid w:val="00D20859"/>
    <w:rsid w:val="00D238A7"/>
    <w:rsid w:val="00D24C60"/>
    <w:rsid w:val="00D259CA"/>
    <w:rsid w:val="00D259D9"/>
    <w:rsid w:val="00D26D58"/>
    <w:rsid w:val="00D30141"/>
    <w:rsid w:val="00D423AB"/>
    <w:rsid w:val="00D46180"/>
    <w:rsid w:val="00D57AA5"/>
    <w:rsid w:val="00D6285C"/>
    <w:rsid w:val="00D64D4C"/>
    <w:rsid w:val="00D66D92"/>
    <w:rsid w:val="00D71173"/>
    <w:rsid w:val="00D75E0B"/>
    <w:rsid w:val="00D76889"/>
    <w:rsid w:val="00D83163"/>
    <w:rsid w:val="00D8700F"/>
    <w:rsid w:val="00D87028"/>
    <w:rsid w:val="00D90C54"/>
    <w:rsid w:val="00D9242C"/>
    <w:rsid w:val="00D9465A"/>
    <w:rsid w:val="00D973FB"/>
    <w:rsid w:val="00DA5F1F"/>
    <w:rsid w:val="00DB369E"/>
    <w:rsid w:val="00DB4F32"/>
    <w:rsid w:val="00DB4FC2"/>
    <w:rsid w:val="00DB591D"/>
    <w:rsid w:val="00DB5B6E"/>
    <w:rsid w:val="00DC052A"/>
    <w:rsid w:val="00DC18A8"/>
    <w:rsid w:val="00DC6C1F"/>
    <w:rsid w:val="00DD011F"/>
    <w:rsid w:val="00DD206B"/>
    <w:rsid w:val="00DD2D63"/>
    <w:rsid w:val="00DD3E92"/>
    <w:rsid w:val="00DD7C35"/>
    <w:rsid w:val="00DE0EB6"/>
    <w:rsid w:val="00DE44E8"/>
    <w:rsid w:val="00DF2F3F"/>
    <w:rsid w:val="00DF45B3"/>
    <w:rsid w:val="00DF5185"/>
    <w:rsid w:val="00DF5E5A"/>
    <w:rsid w:val="00DF6064"/>
    <w:rsid w:val="00E01BCE"/>
    <w:rsid w:val="00E041BE"/>
    <w:rsid w:val="00E042E8"/>
    <w:rsid w:val="00E049DC"/>
    <w:rsid w:val="00E05869"/>
    <w:rsid w:val="00E06FF6"/>
    <w:rsid w:val="00E07082"/>
    <w:rsid w:val="00E11C8E"/>
    <w:rsid w:val="00E20B0A"/>
    <w:rsid w:val="00E2294B"/>
    <w:rsid w:val="00E2469A"/>
    <w:rsid w:val="00E34EC0"/>
    <w:rsid w:val="00E35B0D"/>
    <w:rsid w:val="00E4043C"/>
    <w:rsid w:val="00E430BD"/>
    <w:rsid w:val="00E517F4"/>
    <w:rsid w:val="00E53918"/>
    <w:rsid w:val="00E54737"/>
    <w:rsid w:val="00E61FF6"/>
    <w:rsid w:val="00E624E8"/>
    <w:rsid w:val="00E62C8F"/>
    <w:rsid w:val="00E63CB6"/>
    <w:rsid w:val="00E6464E"/>
    <w:rsid w:val="00E657B8"/>
    <w:rsid w:val="00E66590"/>
    <w:rsid w:val="00E71E64"/>
    <w:rsid w:val="00E7325C"/>
    <w:rsid w:val="00E779C7"/>
    <w:rsid w:val="00E80DCB"/>
    <w:rsid w:val="00E81DBB"/>
    <w:rsid w:val="00E82A05"/>
    <w:rsid w:val="00E840E8"/>
    <w:rsid w:val="00E87B3C"/>
    <w:rsid w:val="00E91F63"/>
    <w:rsid w:val="00EA2DDD"/>
    <w:rsid w:val="00EC2F37"/>
    <w:rsid w:val="00EC32C7"/>
    <w:rsid w:val="00EC4A1F"/>
    <w:rsid w:val="00ED2A86"/>
    <w:rsid w:val="00ED33BB"/>
    <w:rsid w:val="00ED7AF8"/>
    <w:rsid w:val="00EE0899"/>
    <w:rsid w:val="00EE1D8E"/>
    <w:rsid w:val="00EE3679"/>
    <w:rsid w:val="00EE684F"/>
    <w:rsid w:val="00EF3911"/>
    <w:rsid w:val="00EF47D7"/>
    <w:rsid w:val="00EF66F0"/>
    <w:rsid w:val="00F00C20"/>
    <w:rsid w:val="00F10DA9"/>
    <w:rsid w:val="00F1429D"/>
    <w:rsid w:val="00F15F49"/>
    <w:rsid w:val="00F20989"/>
    <w:rsid w:val="00F2276C"/>
    <w:rsid w:val="00F25D45"/>
    <w:rsid w:val="00F31ACD"/>
    <w:rsid w:val="00F320EB"/>
    <w:rsid w:val="00F32FA4"/>
    <w:rsid w:val="00F358D0"/>
    <w:rsid w:val="00F358EF"/>
    <w:rsid w:val="00F35B1D"/>
    <w:rsid w:val="00F3718B"/>
    <w:rsid w:val="00F42EEC"/>
    <w:rsid w:val="00F437EC"/>
    <w:rsid w:val="00F46F7B"/>
    <w:rsid w:val="00F660B8"/>
    <w:rsid w:val="00F67495"/>
    <w:rsid w:val="00F728BB"/>
    <w:rsid w:val="00F74C74"/>
    <w:rsid w:val="00F82786"/>
    <w:rsid w:val="00F8345E"/>
    <w:rsid w:val="00F836C5"/>
    <w:rsid w:val="00F86EF2"/>
    <w:rsid w:val="00F87D14"/>
    <w:rsid w:val="00F907E1"/>
    <w:rsid w:val="00F9091E"/>
    <w:rsid w:val="00FA0117"/>
    <w:rsid w:val="00FA07E3"/>
    <w:rsid w:val="00FA2CDD"/>
    <w:rsid w:val="00FB27B3"/>
    <w:rsid w:val="00FD1F0E"/>
    <w:rsid w:val="00FD20CC"/>
    <w:rsid w:val="00FD2576"/>
    <w:rsid w:val="00FD415D"/>
    <w:rsid w:val="00FD63C5"/>
    <w:rsid w:val="00FE10C8"/>
    <w:rsid w:val="00FE19D1"/>
    <w:rsid w:val="00FF339B"/>
    <w:rsid w:val="00FF3BE5"/>
    <w:rsid w:val="00FF5B8C"/>
    <w:rsid w:val="00FF5C6F"/>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6CC5A0"/>
  <w15:docId w15:val="{7EB70812-E1D3-A04F-BAA8-DE3E517A1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637D"/>
    <w:pPr>
      <w:overflowPunct w:val="0"/>
      <w:autoSpaceDE w:val="0"/>
      <w:autoSpaceDN w:val="0"/>
      <w:adjustRightInd w:val="0"/>
      <w:spacing w:before="120"/>
      <w:jc w:val="both"/>
      <w:textAlignment w:val="baseline"/>
    </w:pPr>
    <w:rPr>
      <w:rFonts w:ascii="Trebuchet MS" w:hAnsi="Trebuchet MS"/>
      <w:sz w:val="22"/>
      <w:szCs w:val="24"/>
    </w:rPr>
  </w:style>
  <w:style w:type="paragraph" w:styleId="Ttulo1">
    <w:name w:val="heading 1"/>
    <w:basedOn w:val="Normal"/>
    <w:next w:val="Normal"/>
    <w:link w:val="Ttulo1Car"/>
    <w:qFormat/>
    <w:rsid w:val="00FD16A3"/>
    <w:pPr>
      <w:pBdr>
        <w:bottom w:val="single" w:sz="2" w:space="1" w:color="1D9E9E"/>
      </w:pBdr>
      <w:spacing w:before="480"/>
      <w:outlineLvl w:val="0"/>
    </w:pPr>
    <w:rPr>
      <w:color w:val="1D9E9E"/>
      <w:sz w:val="36"/>
    </w:rPr>
  </w:style>
  <w:style w:type="paragraph" w:styleId="Ttulo2">
    <w:name w:val="heading 2"/>
    <w:basedOn w:val="Normal"/>
    <w:next w:val="Normal"/>
    <w:link w:val="Ttulo2Car"/>
    <w:qFormat/>
    <w:rsid w:val="00337E2C"/>
    <w:pPr>
      <w:spacing w:before="480"/>
      <w:outlineLvl w:val="1"/>
    </w:pPr>
    <w:rPr>
      <w:color w:val="1D9E9E"/>
      <w:sz w:val="32"/>
    </w:rPr>
  </w:style>
  <w:style w:type="paragraph" w:styleId="Ttulo3">
    <w:name w:val="heading 3"/>
    <w:basedOn w:val="Normal"/>
    <w:next w:val="Normal"/>
    <w:link w:val="Ttulo3Car"/>
    <w:qFormat/>
    <w:rsid w:val="00337E2C"/>
    <w:pPr>
      <w:outlineLvl w:val="2"/>
    </w:pPr>
    <w:rPr>
      <w:color w:val="1D9E9E"/>
      <w:sz w:val="28"/>
    </w:rPr>
  </w:style>
  <w:style w:type="paragraph" w:styleId="Ttulo4">
    <w:name w:val="heading 4"/>
    <w:basedOn w:val="Normal"/>
    <w:next w:val="Normal"/>
    <w:qFormat/>
    <w:rsid w:val="00337E2C"/>
    <w:pPr>
      <w:keepNext/>
      <w:tabs>
        <w:tab w:val="num" w:pos="2835"/>
      </w:tabs>
      <w:outlineLvl w:val="3"/>
    </w:pPr>
    <w:rPr>
      <w:b/>
      <w:sz w:val="24"/>
      <w:szCs w:val="28"/>
    </w:rPr>
  </w:style>
  <w:style w:type="paragraph" w:styleId="Ttulo5">
    <w:name w:val="heading 5"/>
    <w:basedOn w:val="Normal"/>
    <w:next w:val="Normal"/>
    <w:qFormat/>
    <w:rsid w:val="00337E2C"/>
    <w:pPr>
      <w:outlineLvl w:val="4"/>
    </w:pPr>
    <w:rPr>
      <w:b/>
      <w:i/>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FD16A3"/>
    <w:rPr>
      <w:rFonts w:ascii="Trebuchet MS" w:hAnsi="Trebuchet MS"/>
      <w:color w:val="1D9E9E"/>
      <w:sz w:val="36"/>
      <w:szCs w:val="24"/>
      <w:lang w:val="es-ES" w:eastAsia="en-US"/>
    </w:rPr>
  </w:style>
  <w:style w:type="character" w:customStyle="1" w:styleId="Ttulo2Car">
    <w:name w:val="Título 2 Car"/>
    <w:link w:val="Ttulo2"/>
    <w:rsid w:val="00337E2C"/>
    <w:rPr>
      <w:rFonts w:ascii="Trebuchet MS" w:hAnsi="Trebuchet MS"/>
      <w:color w:val="1D9E9E"/>
      <w:sz w:val="32"/>
      <w:szCs w:val="24"/>
      <w:lang w:val="es-ES" w:eastAsia="en-US"/>
    </w:rPr>
  </w:style>
  <w:style w:type="character" w:customStyle="1" w:styleId="Ttulo3Car">
    <w:name w:val="Título 3 Car"/>
    <w:link w:val="Ttulo3"/>
    <w:rsid w:val="00337E2C"/>
    <w:rPr>
      <w:rFonts w:ascii="Trebuchet MS" w:hAnsi="Trebuchet MS"/>
      <w:color w:val="1D9E9E"/>
      <w:sz w:val="28"/>
      <w:szCs w:val="24"/>
      <w:lang w:val="es-ES" w:eastAsia="en-US"/>
    </w:rPr>
  </w:style>
  <w:style w:type="character" w:styleId="Refdenotaalpie">
    <w:name w:val="footnote reference"/>
    <w:semiHidden/>
    <w:rsid w:val="008A3058"/>
    <w:rPr>
      <w:sz w:val="18"/>
      <w:vertAlign w:val="superscript"/>
    </w:rPr>
  </w:style>
  <w:style w:type="paragraph" w:styleId="Textonotapie">
    <w:name w:val="footnote text"/>
    <w:basedOn w:val="Normal"/>
    <w:link w:val="TextonotapieCar"/>
    <w:semiHidden/>
    <w:rsid w:val="007B26C1"/>
    <w:pPr>
      <w:spacing w:before="60"/>
    </w:pPr>
    <w:rPr>
      <w:rFonts w:ascii="Arial" w:hAnsi="Arial"/>
      <w:color w:val="595959"/>
      <w:sz w:val="18"/>
    </w:rPr>
  </w:style>
  <w:style w:type="character" w:customStyle="1" w:styleId="TextonotapieCar">
    <w:name w:val="Texto nota pie Car"/>
    <w:link w:val="Textonotapie"/>
    <w:semiHidden/>
    <w:rsid w:val="00147DDB"/>
    <w:rPr>
      <w:rFonts w:ascii="Arial" w:hAnsi="Arial"/>
      <w:color w:val="595959"/>
      <w:sz w:val="18"/>
      <w:szCs w:val="24"/>
      <w:lang w:val="es-ES" w:eastAsia="en-US"/>
    </w:rPr>
  </w:style>
  <w:style w:type="paragraph" w:styleId="Textocomentario">
    <w:name w:val="annotation text"/>
    <w:basedOn w:val="Normal"/>
    <w:semiHidden/>
    <w:rsid w:val="007B26C1"/>
  </w:style>
  <w:style w:type="paragraph" w:styleId="Asuntodelcomentario">
    <w:name w:val="annotation subject"/>
    <w:basedOn w:val="Textocomentario"/>
    <w:next w:val="Textocomentario"/>
    <w:semiHidden/>
    <w:rsid w:val="007B26C1"/>
    <w:rPr>
      <w:b/>
      <w:szCs w:val="20"/>
    </w:rPr>
  </w:style>
  <w:style w:type="paragraph" w:styleId="Lista">
    <w:name w:val="List"/>
    <w:basedOn w:val="Normal"/>
    <w:semiHidden/>
    <w:rsid w:val="007B26C1"/>
  </w:style>
  <w:style w:type="paragraph" w:styleId="TDC1">
    <w:name w:val="toc 1"/>
    <w:next w:val="Normal"/>
    <w:autoRedefine/>
    <w:uiPriority w:val="39"/>
    <w:semiHidden/>
    <w:rsid w:val="00337E2C"/>
    <w:pPr>
      <w:tabs>
        <w:tab w:val="right" w:pos="9629"/>
      </w:tabs>
      <w:overflowPunct w:val="0"/>
      <w:autoSpaceDE w:val="0"/>
      <w:autoSpaceDN w:val="0"/>
      <w:adjustRightInd w:val="0"/>
      <w:spacing w:before="400"/>
      <w:textAlignment w:val="baseline"/>
      <w:outlineLvl w:val="0"/>
    </w:pPr>
    <w:rPr>
      <w:rFonts w:ascii="Trebuchet MS" w:hAnsi="Trebuchet MS"/>
      <w:caps/>
      <w:sz w:val="24"/>
      <w:szCs w:val="22"/>
    </w:rPr>
  </w:style>
  <w:style w:type="paragraph" w:styleId="TDC2">
    <w:name w:val="toc 2"/>
    <w:basedOn w:val="Normal"/>
    <w:next w:val="Normal"/>
    <w:uiPriority w:val="39"/>
    <w:semiHidden/>
    <w:rsid w:val="007B26C1"/>
    <w:pPr>
      <w:tabs>
        <w:tab w:val="right" w:pos="9628"/>
      </w:tabs>
      <w:jc w:val="left"/>
    </w:pPr>
    <w:rPr>
      <w:b/>
      <w:szCs w:val="22"/>
    </w:rPr>
  </w:style>
  <w:style w:type="paragraph" w:styleId="TDC3">
    <w:name w:val="toc 3"/>
    <w:basedOn w:val="Normal"/>
    <w:next w:val="Normal"/>
    <w:uiPriority w:val="39"/>
    <w:semiHidden/>
    <w:rsid w:val="007B26C1"/>
    <w:pPr>
      <w:tabs>
        <w:tab w:val="right" w:pos="9628"/>
      </w:tabs>
      <w:spacing w:before="140"/>
      <w:jc w:val="left"/>
    </w:pPr>
    <w:rPr>
      <w:color w:val="595959"/>
      <w:sz w:val="20"/>
      <w:szCs w:val="22"/>
    </w:rPr>
  </w:style>
  <w:style w:type="paragraph" w:styleId="TDC4">
    <w:name w:val="toc 4"/>
    <w:basedOn w:val="Normal"/>
    <w:next w:val="Normal"/>
    <w:autoRedefine/>
    <w:uiPriority w:val="39"/>
    <w:semiHidden/>
    <w:unhideWhenUsed/>
    <w:rsid w:val="007B26C1"/>
    <w:pPr>
      <w:spacing w:before="0"/>
      <w:jc w:val="left"/>
    </w:pPr>
    <w:rPr>
      <w:rFonts w:ascii="Cambria" w:hAnsi="Cambria"/>
      <w:szCs w:val="22"/>
    </w:rPr>
  </w:style>
  <w:style w:type="paragraph" w:styleId="TDC5">
    <w:name w:val="toc 5"/>
    <w:basedOn w:val="Normal"/>
    <w:next w:val="Normal"/>
    <w:autoRedefine/>
    <w:uiPriority w:val="39"/>
    <w:semiHidden/>
    <w:unhideWhenUsed/>
    <w:rsid w:val="007B26C1"/>
    <w:pPr>
      <w:spacing w:before="0"/>
      <w:jc w:val="left"/>
    </w:pPr>
    <w:rPr>
      <w:rFonts w:ascii="Cambria" w:hAnsi="Cambria"/>
      <w:szCs w:val="22"/>
    </w:rPr>
  </w:style>
  <w:style w:type="paragraph" w:styleId="TDC6">
    <w:name w:val="toc 6"/>
    <w:basedOn w:val="Normal"/>
    <w:next w:val="Normal"/>
    <w:autoRedefine/>
    <w:uiPriority w:val="39"/>
    <w:semiHidden/>
    <w:unhideWhenUsed/>
    <w:rsid w:val="007B26C1"/>
    <w:pPr>
      <w:spacing w:before="0"/>
      <w:jc w:val="left"/>
    </w:pPr>
    <w:rPr>
      <w:rFonts w:ascii="Cambria" w:hAnsi="Cambria"/>
      <w:szCs w:val="22"/>
    </w:rPr>
  </w:style>
  <w:style w:type="paragraph" w:styleId="TDC7">
    <w:name w:val="toc 7"/>
    <w:basedOn w:val="Normal"/>
    <w:next w:val="Normal"/>
    <w:autoRedefine/>
    <w:uiPriority w:val="39"/>
    <w:semiHidden/>
    <w:unhideWhenUsed/>
    <w:rsid w:val="007B26C1"/>
    <w:pPr>
      <w:spacing w:before="0"/>
      <w:jc w:val="left"/>
    </w:pPr>
    <w:rPr>
      <w:rFonts w:ascii="Cambria" w:hAnsi="Cambria"/>
      <w:szCs w:val="22"/>
    </w:rPr>
  </w:style>
  <w:style w:type="paragraph" w:styleId="TDC8">
    <w:name w:val="toc 8"/>
    <w:basedOn w:val="Normal"/>
    <w:next w:val="Normal"/>
    <w:autoRedefine/>
    <w:uiPriority w:val="39"/>
    <w:semiHidden/>
    <w:unhideWhenUsed/>
    <w:rsid w:val="007B26C1"/>
    <w:pPr>
      <w:spacing w:before="0"/>
      <w:jc w:val="left"/>
    </w:pPr>
    <w:rPr>
      <w:rFonts w:ascii="Cambria" w:hAnsi="Cambria"/>
      <w:szCs w:val="22"/>
    </w:rPr>
  </w:style>
  <w:style w:type="paragraph" w:styleId="TDC9">
    <w:name w:val="toc 9"/>
    <w:basedOn w:val="Normal"/>
    <w:next w:val="Normal"/>
    <w:autoRedefine/>
    <w:uiPriority w:val="39"/>
    <w:semiHidden/>
    <w:unhideWhenUsed/>
    <w:rsid w:val="007B26C1"/>
    <w:pPr>
      <w:spacing w:before="0"/>
      <w:jc w:val="left"/>
    </w:pPr>
    <w:rPr>
      <w:rFonts w:ascii="Cambria" w:hAnsi="Cambria"/>
      <w:szCs w:val="22"/>
    </w:rPr>
  </w:style>
  <w:style w:type="paragraph" w:customStyle="1" w:styleId="ndex">
    <w:name w:val="Índex"/>
    <w:basedOn w:val="Normal"/>
    <w:next w:val="Normal"/>
    <w:qFormat/>
    <w:rsid w:val="007B26C1"/>
    <w:pPr>
      <w:spacing w:after="120"/>
      <w:jc w:val="left"/>
    </w:pPr>
    <w:rPr>
      <w:color w:val="595959"/>
      <w:sz w:val="24"/>
    </w:rPr>
  </w:style>
  <w:style w:type="paragraph" w:customStyle="1" w:styleId="Llistatambvinyeta">
    <w:name w:val="Llistat amb vinyeta"/>
    <w:basedOn w:val="Normal"/>
    <w:qFormat/>
    <w:rsid w:val="00337E2C"/>
    <w:pPr>
      <w:numPr>
        <w:numId w:val="23"/>
      </w:numPr>
    </w:pPr>
  </w:style>
  <w:style w:type="paragraph" w:customStyle="1" w:styleId="Llistatnumerat">
    <w:name w:val="Llistat numerat"/>
    <w:basedOn w:val="Normal"/>
    <w:qFormat/>
    <w:rsid w:val="007B26C1"/>
    <w:pPr>
      <w:contextualSpacing/>
    </w:pPr>
  </w:style>
  <w:style w:type="character" w:styleId="Hipervnculo">
    <w:name w:val="Hyperlink"/>
    <w:rsid w:val="00F7029B"/>
    <w:rPr>
      <w:rFonts w:ascii="Trebuchet MS" w:hAnsi="Trebuchet MS"/>
      <w:color w:val="0000FF"/>
      <w:sz w:val="22"/>
      <w:u w:val="single"/>
    </w:rPr>
  </w:style>
  <w:style w:type="paragraph" w:styleId="Piedepgina">
    <w:name w:val="footer"/>
    <w:basedOn w:val="Textonotapie"/>
    <w:next w:val="Normal"/>
    <w:link w:val="PiedepginaCar"/>
    <w:rsid w:val="00F7029B"/>
    <w:rPr>
      <w:rFonts w:ascii="Trebuchet MS" w:hAnsi="Trebuchet MS"/>
    </w:rPr>
  </w:style>
  <w:style w:type="character" w:customStyle="1" w:styleId="PiedepginaCar">
    <w:name w:val="Pie de página Car"/>
    <w:link w:val="Piedepgina"/>
    <w:rsid w:val="00F7029B"/>
    <w:rPr>
      <w:rFonts w:ascii="Trebuchet MS" w:hAnsi="Trebuchet MS"/>
      <w:color w:val="595959"/>
      <w:sz w:val="18"/>
      <w:szCs w:val="24"/>
      <w:lang w:val="es-ES" w:eastAsia="en-US"/>
    </w:rPr>
  </w:style>
  <w:style w:type="paragraph" w:customStyle="1" w:styleId="Subttol">
    <w:name w:val="Subtítol"/>
    <w:basedOn w:val="Normal"/>
    <w:next w:val="Normal"/>
    <w:qFormat/>
    <w:rsid w:val="00337E2C"/>
    <w:pPr>
      <w:spacing w:before="240" w:after="120"/>
    </w:pPr>
    <w:rPr>
      <w:color w:val="1D9E9E"/>
      <w:sz w:val="36"/>
    </w:rPr>
  </w:style>
  <w:style w:type="character" w:styleId="Nmerodepgina">
    <w:name w:val="page number"/>
    <w:rsid w:val="00337E2C"/>
    <w:rPr>
      <w:rFonts w:ascii="Trebuchet MS" w:hAnsi="Trebuchet MS"/>
      <w:color w:val="7F7F7F"/>
      <w:sz w:val="20"/>
    </w:rPr>
  </w:style>
  <w:style w:type="paragraph" w:customStyle="1" w:styleId="Ttuloprojectecaptoldocument">
    <w:name w:val="Título projecte/capítol/document"/>
    <w:basedOn w:val="Normal"/>
    <w:next w:val="Normal"/>
    <w:qFormat/>
    <w:rsid w:val="008A3058"/>
    <w:pPr>
      <w:spacing w:before="720"/>
    </w:pPr>
    <w:rPr>
      <w:color w:val="1D9E9E"/>
      <w:sz w:val="46"/>
    </w:rPr>
  </w:style>
  <w:style w:type="paragraph" w:customStyle="1" w:styleId="TtolTaules">
    <w:name w:val="Títol Taules"/>
    <w:basedOn w:val="Normal"/>
    <w:next w:val="Normal"/>
    <w:qFormat/>
    <w:rsid w:val="007B26C1"/>
    <w:pPr>
      <w:spacing w:after="60"/>
    </w:pPr>
    <w:rPr>
      <w:b/>
      <w:sz w:val="20"/>
    </w:rPr>
  </w:style>
  <w:style w:type="character" w:styleId="Hipervnculovisitado">
    <w:name w:val="FollowedHyperlink"/>
    <w:rsid w:val="00337E2C"/>
    <w:rPr>
      <w:rFonts w:ascii="Trebuchet MS" w:hAnsi="Trebuchet MS"/>
      <w:color w:val="800080"/>
      <w:sz w:val="22"/>
      <w:u w:val="single"/>
    </w:rPr>
  </w:style>
  <w:style w:type="paragraph" w:styleId="NormalWeb">
    <w:name w:val="Normal (Web)"/>
    <w:basedOn w:val="Normal"/>
    <w:uiPriority w:val="99"/>
    <w:rsid w:val="007B26C1"/>
    <w:pPr>
      <w:overflowPunct/>
      <w:autoSpaceDE/>
      <w:autoSpaceDN/>
      <w:adjustRightInd/>
      <w:spacing w:beforeLines="1" w:afterLines="1"/>
      <w:jc w:val="left"/>
      <w:textAlignment w:val="auto"/>
    </w:pPr>
    <w:rPr>
      <w:szCs w:val="20"/>
      <w:lang w:eastAsia="es-ES_tradnl"/>
    </w:rPr>
  </w:style>
  <w:style w:type="character" w:styleId="Refdecomentario">
    <w:name w:val="annotation reference"/>
    <w:rsid w:val="00337E2C"/>
    <w:rPr>
      <w:rFonts w:ascii="Trebuchet MS" w:hAnsi="Trebuchet MS"/>
      <w:color w:val="595959"/>
      <w:sz w:val="18"/>
      <w:szCs w:val="18"/>
    </w:rPr>
  </w:style>
  <w:style w:type="paragraph" w:customStyle="1" w:styleId="Versi">
    <w:name w:val="Versió"/>
    <w:aliases w:val="Data"/>
    <w:basedOn w:val="Normal"/>
    <w:next w:val="Normal"/>
    <w:qFormat/>
    <w:rsid w:val="0059194F"/>
    <w:rPr>
      <w:color w:val="898989"/>
      <w:szCs w:val="22"/>
    </w:rPr>
  </w:style>
  <w:style w:type="paragraph" w:customStyle="1" w:styleId="TtuloprojectecaptoldocumentGRIS">
    <w:name w:val="Título projecte/capítol/document GRIS"/>
    <w:basedOn w:val="Ttuloprojectecaptoldocument"/>
    <w:next w:val="Normal"/>
    <w:qFormat/>
    <w:rsid w:val="004837AB"/>
    <w:rPr>
      <w:color w:val="4B4B4B"/>
      <w:szCs w:val="48"/>
    </w:rPr>
  </w:style>
  <w:style w:type="paragraph" w:customStyle="1" w:styleId="SubttolGRIS">
    <w:name w:val="Subtítol GRIS"/>
    <w:basedOn w:val="Subttol"/>
    <w:next w:val="Normal"/>
    <w:qFormat/>
    <w:rsid w:val="009B2681"/>
    <w:rPr>
      <w:color w:val="4B4B4B"/>
      <w:szCs w:val="36"/>
    </w:rPr>
  </w:style>
  <w:style w:type="paragraph" w:customStyle="1" w:styleId="Ttulo1GRIS">
    <w:name w:val="Título 1 GRIS"/>
    <w:basedOn w:val="Ttulo1"/>
    <w:next w:val="Normal"/>
    <w:qFormat/>
    <w:rsid w:val="004837AB"/>
    <w:pPr>
      <w:pBdr>
        <w:bottom w:val="single" w:sz="2" w:space="1" w:color="595959"/>
      </w:pBdr>
    </w:pPr>
    <w:rPr>
      <w:color w:val="4B4B4B"/>
      <w:szCs w:val="36"/>
    </w:rPr>
  </w:style>
  <w:style w:type="paragraph" w:customStyle="1" w:styleId="Ttulo2GRIS">
    <w:name w:val="Título 2 GRIS"/>
    <w:basedOn w:val="Ttulo2"/>
    <w:next w:val="Normal"/>
    <w:qFormat/>
    <w:rsid w:val="004837AB"/>
    <w:rPr>
      <w:color w:val="4B4B4B"/>
      <w:szCs w:val="32"/>
    </w:rPr>
  </w:style>
  <w:style w:type="paragraph" w:customStyle="1" w:styleId="Ttulo3GRIS">
    <w:name w:val="Título 3 GRIS"/>
    <w:basedOn w:val="Ttulo3"/>
    <w:next w:val="Normal"/>
    <w:qFormat/>
    <w:rsid w:val="0059194F"/>
    <w:rPr>
      <w:color w:val="4B4B4B"/>
      <w:szCs w:val="28"/>
    </w:rPr>
  </w:style>
  <w:style w:type="paragraph" w:customStyle="1" w:styleId="LlistatambvinyetaGRIS">
    <w:name w:val="Llistat amb vinyeta GRIS"/>
    <w:basedOn w:val="Normal"/>
    <w:qFormat/>
    <w:rsid w:val="009B2681"/>
    <w:pPr>
      <w:numPr>
        <w:numId w:val="24"/>
      </w:numPr>
    </w:pPr>
  </w:style>
  <w:style w:type="table" w:styleId="Tablaconcuadrcula">
    <w:name w:val="Table Grid"/>
    <w:basedOn w:val="Tablanormal"/>
    <w:rsid w:val="00337E2C"/>
    <w:pPr>
      <w:spacing w:before="120"/>
    </w:p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rPr>
        <w:b w:val="0"/>
        <w:color w:val="auto"/>
      </w:rPr>
    </w:tblStylePr>
    <w:tblStylePr w:type="lastRow">
      <w:rPr>
        <w:b w:val="0"/>
        <w:color w:val="auto"/>
      </w:rPr>
      <w:tblPr/>
      <w:tcPr>
        <w:shd w:val="clear" w:color="auto" w:fill="D9D9D9"/>
      </w:tcPr>
    </w:tblStylePr>
  </w:style>
  <w:style w:type="character" w:styleId="Refdenotaalfinal">
    <w:name w:val="endnote reference"/>
    <w:rsid w:val="008A3058"/>
    <w:rPr>
      <w:sz w:val="18"/>
      <w:vertAlign w:val="superscript"/>
    </w:rPr>
  </w:style>
  <w:style w:type="paragraph" w:customStyle="1" w:styleId="Capalera">
    <w:name w:val="Capçalera"/>
    <w:basedOn w:val="Normal"/>
    <w:qFormat/>
    <w:rsid w:val="0059194F"/>
    <w:pPr>
      <w:jc w:val="right"/>
    </w:pPr>
    <w:rPr>
      <w:noProof/>
      <w:color w:val="89897F"/>
      <w:szCs w:val="22"/>
      <w:lang w:eastAsia="es-ES_tradnl"/>
    </w:rPr>
  </w:style>
  <w:style w:type="paragraph" w:styleId="Textodeglobo">
    <w:name w:val="Balloon Text"/>
    <w:basedOn w:val="Normal"/>
    <w:link w:val="TextodegloboCar"/>
    <w:rsid w:val="007044F3"/>
    <w:pPr>
      <w:spacing w:before="0"/>
    </w:pPr>
    <w:rPr>
      <w:rFonts w:ascii="Segoe UI" w:hAnsi="Segoe UI"/>
      <w:sz w:val="18"/>
      <w:szCs w:val="18"/>
    </w:rPr>
  </w:style>
  <w:style w:type="character" w:customStyle="1" w:styleId="TextodegloboCar">
    <w:name w:val="Texto de globo Car"/>
    <w:link w:val="Textodeglobo"/>
    <w:rsid w:val="007044F3"/>
    <w:rPr>
      <w:rFonts w:ascii="Segoe UI" w:hAnsi="Segoe UI" w:cs="Segoe UI"/>
      <w:sz w:val="18"/>
      <w:szCs w:val="18"/>
      <w:lang w:val="es-ES" w:eastAsia="en-US"/>
    </w:rPr>
  </w:style>
  <w:style w:type="character" w:customStyle="1" w:styleId="UnresolvedMention1">
    <w:name w:val="Unresolved Mention1"/>
    <w:uiPriority w:val="99"/>
    <w:semiHidden/>
    <w:unhideWhenUsed/>
    <w:rsid w:val="007A55FF"/>
    <w:rPr>
      <w:color w:val="808080"/>
      <w:shd w:val="clear" w:color="auto" w:fill="E6E6E6"/>
    </w:rPr>
  </w:style>
  <w:style w:type="paragraph" w:styleId="Revisin">
    <w:name w:val="Revision"/>
    <w:hidden/>
    <w:rsid w:val="0042423D"/>
    <w:rPr>
      <w:rFonts w:ascii="Trebuchet MS" w:hAnsi="Trebuchet MS"/>
      <w:sz w:val="22"/>
      <w:szCs w:val="24"/>
    </w:rPr>
  </w:style>
  <w:style w:type="paragraph" w:styleId="Prrafodelista">
    <w:name w:val="List Paragraph"/>
    <w:basedOn w:val="Normal"/>
    <w:qFormat/>
    <w:rsid w:val="00AB638D"/>
    <w:pPr>
      <w:ind w:left="720"/>
      <w:contextualSpacing/>
    </w:pPr>
  </w:style>
  <w:style w:type="character" w:customStyle="1" w:styleId="UnresolvedMention2">
    <w:name w:val="Unresolved Mention2"/>
    <w:basedOn w:val="Fuentedeprrafopredeter"/>
    <w:uiPriority w:val="99"/>
    <w:semiHidden/>
    <w:unhideWhenUsed/>
    <w:rsid w:val="0003041C"/>
    <w:rPr>
      <w:color w:val="605E5C"/>
      <w:shd w:val="clear" w:color="auto" w:fill="E1DFDD"/>
    </w:rPr>
  </w:style>
  <w:style w:type="character" w:styleId="Mencinsinresolver">
    <w:name w:val="Unresolved Mention"/>
    <w:basedOn w:val="Fuentedeprrafopredeter"/>
    <w:uiPriority w:val="99"/>
    <w:semiHidden/>
    <w:unhideWhenUsed/>
    <w:rsid w:val="00DC18A8"/>
    <w:rPr>
      <w:color w:val="605E5C"/>
      <w:shd w:val="clear" w:color="auto" w:fill="E1DFDD"/>
    </w:rPr>
  </w:style>
  <w:style w:type="character" w:customStyle="1" w:styleId="st">
    <w:name w:val="st"/>
    <w:basedOn w:val="Fuentedeprrafopredeter"/>
    <w:rsid w:val="00F42EEC"/>
  </w:style>
  <w:style w:type="paragraph" w:styleId="Encabezado">
    <w:name w:val="header"/>
    <w:basedOn w:val="Normal"/>
    <w:link w:val="EncabezadoCar"/>
    <w:unhideWhenUsed/>
    <w:rsid w:val="002326A9"/>
    <w:pPr>
      <w:tabs>
        <w:tab w:val="center" w:pos="4419"/>
        <w:tab w:val="right" w:pos="8838"/>
      </w:tabs>
      <w:spacing w:before="0"/>
    </w:pPr>
  </w:style>
  <w:style w:type="character" w:customStyle="1" w:styleId="EncabezadoCar">
    <w:name w:val="Encabezado Car"/>
    <w:basedOn w:val="Fuentedeprrafopredeter"/>
    <w:link w:val="Encabezado"/>
    <w:rsid w:val="002326A9"/>
    <w:rPr>
      <w:rFonts w:ascii="Trebuchet MS" w:hAnsi="Trebuchet MS"/>
      <w:sz w:val="22"/>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070582">
      <w:bodyDiv w:val="1"/>
      <w:marLeft w:val="0"/>
      <w:marRight w:val="0"/>
      <w:marTop w:val="0"/>
      <w:marBottom w:val="0"/>
      <w:divBdr>
        <w:top w:val="none" w:sz="0" w:space="0" w:color="auto"/>
        <w:left w:val="none" w:sz="0" w:space="0" w:color="auto"/>
        <w:bottom w:val="none" w:sz="0" w:space="0" w:color="auto"/>
        <w:right w:val="none" w:sz="0" w:space="0" w:color="auto"/>
      </w:divBdr>
      <w:divsChild>
        <w:div w:id="1170750419">
          <w:marLeft w:val="0"/>
          <w:marRight w:val="0"/>
          <w:marTop w:val="0"/>
          <w:marBottom w:val="0"/>
          <w:divBdr>
            <w:top w:val="none" w:sz="0" w:space="0" w:color="auto"/>
            <w:left w:val="none" w:sz="0" w:space="0" w:color="auto"/>
            <w:bottom w:val="none" w:sz="0" w:space="0" w:color="auto"/>
            <w:right w:val="none" w:sz="0" w:space="0" w:color="auto"/>
          </w:divBdr>
          <w:divsChild>
            <w:div w:id="309990600">
              <w:marLeft w:val="0"/>
              <w:marRight w:val="0"/>
              <w:marTop w:val="0"/>
              <w:marBottom w:val="0"/>
              <w:divBdr>
                <w:top w:val="none" w:sz="0" w:space="0" w:color="auto"/>
                <w:left w:val="none" w:sz="0" w:space="0" w:color="auto"/>
                <w:bottom w:val="none" w:sz="0" w:space="0" w:color="auto"/>
                <w:right w:val="none" w:sz="0" w:space="0" w:color="auto"/>
              </w:divBdr>
              <w:divsChild>
                <w:div w:id="17232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98555">
      <w:bodyDiv w:val="1"/>
      <w:marLeft w:val="0"/>
      <w:marRight w:val="0"/>
      <w:marTop w:val="0"/>
      <w:marBottom w:val="0"/>
      <w:divBdr>
        <w:top w:val="none" w:sz="0" w:space="0" w:color="auto"/>
        <w:left w:val="none" w:sz="0" w:space="0" w:color="auto"/>
        <w:bottom w:val="none" w:sz="0" w:space="0" w:color="auto"/>
        <w:right w:val="none" w:sz="0" w:space="0" w:color="auto"/>
      </w:divBdr>
      <w:divsChild>
        <w:div w:id="851070866">
          <w:marLeft w:val="0"/>
          <w:marRight w:val="0"/>
          <w:marTop w:val="0"/>
          <w:marBottom w:val="0"/>
          <w:divBdr>
            <w:top w:val="none" w:sz="0" w:space="0" w:color="auto"/>
            <w:left w:val="none" w:sz="0" w:space="0" w:color="auto"/>
            <w:bottom w:val="none" w:sz="0" w:space="0" w:color="auto"/>
            <w:right w:val="none" w:sz="0" w:space="0" w:color="auto"/>
          </w:divBdr>
          <w:divsChild>
            <w:div w:id="180510094">
              <w:marLeft w:val="0"/>
              <w:marRight w:val="0"/>
              <w:marTop w:val="0"/>
              <w:marBottom w:val="0"/>
              <w:divBdr>
                <w:top w:val="none" w:sz="0" w:space="0" w:color="auto"/>
                <w:left w:val="none" w:sz="0" w:space="0" w:color="auto"/>
                <w:bottom w:val="none" w:sz="0" w:space="0" w:color="auto"/>
                <w:right w:val="none" w:sz="0" w:space="0" w:color="auto"/>
              </w:divBdr>
              <w:divsChild>
                <w:div w:id="397483601">
                  <w:marLeft w:val="0"/>
                  <w:marRight w:val="0"/>
                  <w:marTop w:val="0"/>
                  <w:marBottom w:val="0"/>
                  <w:divBdr>
                    <w:top w:val="none" w:sz="0" w:space="0" w:color="auto"/>
                    <w:left w:val="none" w:sz="0" w:space="0" w:color="auto"/>
                    <w:bottom w:val="none" w:sz="0" w:space="0" w:color="auto"/>
                    <w:right w:val="none" w:sz="0" w:space="0" w:color="auto"/>
                  </w:divBdr>
                  <w:divsChild>
                    <w:div w:id="21285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1579">
      <w:bodyDiv w:val="1"/>
      <w:marLeft w:val="0"/>
      <w:marRight w:val="0"/>
      <w:marTop w:val="0"/>
      <w:marBottom w:val="0"/>
      <w:divBdr>
        <w:top w:val="none" w:sz="0" w:space="0" w:color="auto"/>
        <w:left w:val="none" w:sz="0" w:space="0" w:color="auto"/>
        <w:bottom w:val="none" w:sz="0" w:space="0" w:color="auto"/>
        <w:right w:val="none" w:sz="0" w:space="0" w:color="auto"/>
      </w:divBdr>
      <w:divsChild>
        <w:div w:id="29425898">
          <w:marLeft w:val="0"/>
          <w:marRight w:val="0"/>
          <w:marTop w:val="0"/>
          <w:marBottom w:val="0"/>
          <w:divBdr>
            <w:top w:val="none" w:sz="0" w:space="0" w:color="auto"/>
            <w:left w:val="none" w:sz="0" w:space="0" w:color="auto"/>
            <w:bottom w:val="none" w:sz="0" w:space="0" w:color="auto"/>
            <w:right w:val="none" w:sz="0" w:space="0" w:color="auto"/>
          </w:divBdr>
        </w:div>
        <w:div w:id="161747016">
          <w:marLeft w:val="0"/>
          <w:marRight w:val="0"/>
          <w:marTop w:val="0"/>
          <w:marBottom w:val="0"/>
          <w:divBdr>
            <w:top w:val="none" w:sz="0" w:space="0" w:color="auto"/>
            <w:left w:val="none" w:sz="0" w:space="0" w:color="auto"/>
            <w:bottom w:val="none" w:sz="0" w:space="0" w:color="auto"/>
            <w:right w:val="none" w:sz="0" w:space="0" w:color="auto"/>
          </w:divBdr>
        </w:div>
        <w:div w:id="636036777">
          <w:marLeft w:val="0"/>
          <w:marRight w:val="0"/>
          <w:marTop w:val="0"/>
          <w:marBottom w:val="0"/>
          <w:divBdr>
            <w:top w:val="none" w:sz="0" w:space="0" w:color="auto"/>
            <w:left w:val="none" w:sz="0" w:space="0" w:color="auto"/>
            <w:bottom w:val="none" w:sz="0" w:space="0" w:color="auto"/>
            <w:right w:val="none" w:sz="0" w:space="0" w:color="auto"/>
          </w:divBdr>
        </w:div>
        <w:div w:id="653484639">
          <w:marLeft w:val="0"/>
          <w:marRight w:val="0"/>
          <w:marTop w:val="0"/>
          <w:marBottom w:val="0"/>
          <w:divBdr>
            <w:top w:val="none" w:sz="0" w:space="0" w:color="auto"/>
            <w:left w:val="none" w:sz="0" w:space="0" w:color="auto"/>
            <w:bottom w:val="none" w:sz="0" w:space="0" w:color="auto"/>
            <w:right w:val="none" w:sz="0" w:space="0" w:color="auto"/>
          </w:divBdr>
        </w:div>
        <w:div w:id="822695086">
          <w:marLeft w:val="0"/>
          <w:marRight w:val="0"/>
          <w:marTop w:val="0"/>
          <w:marBottom w:val="0"/>
          <w:divBdr>
            <w:top w:val="none" w:sz="0" w:space="0" w:color="auto"/>
            <w:left w:val="none" w:sz="0" w:space="0" w:color="auto"/>
            <w:bottom w:val="none" w:sz="0" w:space="0" w:color="auto"/>
            <w:right w:val="none" w:sz="0" w:space="0" w:color="auto"/>
          </w:divBdr>
        </w:div>
        <w:div w:id="1497695506">
          <w:marLeft w:val="0"/>
          <w:marRight w:val="0"/>
          <w:marTop w:val="0"/>
          <w:marBottom w:val="0"/>
          <w:divBdr>
            <w:top w:val="none" w:sz="0" w:space="0" w:color="auto"/>
            <w:left w:val="none" w:sz="0" w:space="0" w:color="auto"/>
            <w:bottom w:val="none" w:sz="0" w:space="0" w:color="auto"/>
            <w:right w:val="none" w:sz="0" w:space="0" w:color="auto"/>
          </w:divBdr>
        </w:div>
        <w:div w:id="1847093635">
          <w:marLeft w:val="0"/>
          <w:marRight w:val="0"/>
          <w:marTop w:val="0"/>
          <w:marBottom w:val="0"/>
          <w:divBdr>
            <w:top w:val="none" w:sz="0" w:space="0" w:color="auto"/>
            <w:left w:val="none" w:sz="0" w:space="0" w:color="auto"/>
            <w:bottom w:val="none" w:sz="0" w:space="0" w:color="auto"/>
            <w:right w:val="none" w:sz="0" w:space="0" w:color="auto"/>
          </w:divBdr>
        </w:div>
        <w:div w:id="1917665724">
          <w:marLeft w:val="0"/>
          <w:marRight w:val="0"/>
          <w:marTop w:val="0"/>
          <w:marBottom w:val="0"/>
          <w:divBdr>
            <w:top w:val="none" w:sz="0" w:space="0" w:color="auto"/>
            <w:left w:val="none" w:sz="0" w:space="0" w:color="auto"/>
            <w:bottom w:val="none" w:sz="0" w:space="0" w:color="auto"/>
            <w:right w:val="none" w:sz="0" w:space="0" w:color="auto"/>
          </w:divBdr>
        </w:div>
      </w:divsChild>
    </w:div>
    <w:div w:id="1105808081">
      <w:bodyDiv w:val="1"/>
      <w:marLeft w:val="0"/>
      <w:marRight w:val="0"/>
      <w:marTop w:val="0"/>
      <w:marBottom w:val="0"/>
      <w:divBdr>
        <w:top w:val="none" w:sz="0" w:space="0" w:color="auto"/>
        <w:left w:val="none" w:sz="0" w:space="0" w:color="auto"/>
        <w:bottom w:val="none" w:sz="0" w:space="0" w:color="auto"/>
        <w:right w:val="none" w:sz="0" w:space="0" w:color="auto"/>
      </w:divBdr>
    </w:div>
    <w:div w:id="1325351795">
      <w:bodyDiv w:val="1"/>
      <w:marLeft w:val="0"/>
      <w:marRight w:val="0"/>
      <w:marTop w:val="0"/>
      <w:marBottom w:val="0"/>
      <w:divBdr>
        <w:top w:val="none" w:sz="0" w:space="0" w:color="auto"/>
        <w:left w:val="none" w:sz="0" w:space="0" w:color="auto"/>
        <w:bottom w:val="none" w:sz="0" w:space="0" w:color="auto"/>
        <w:right w:val="none" w:sz="0" w:space="0" w:color="auto"/>
      </w:divBdr>
      <w:divsChild>
        <w:div w:id="942152638">
          <w:marLeft w:val="0"/>
          <w:marRight w:val="0"/>
          <w:marTop w:val="0"/>
          <w:marBottom w:val="0"/>
          <w:divBdr>
            <w:top w:val="none" w:sz="0" w:space="0" w:color="auto"/>
            <w:left w:val="none" w:sz="0" w:space="0" w:color="auto"/>
            <w:bottom w:val="none" w:sz="0" w:space="0" w:color="auto"/>
            <w:right w:val="none" w:sz="0" w:space="0" w:color="auto"/>
          </w:divBdr>
          <w:divsChild>
            <w:div w:id="1019694547">
              <w:marLeft w:val="0"/>
              <w:marRight w:val="0"/>
              <w:marTop w:val="0"/>
              <w:marBottom w:val="0"/>
              <w:divBdr>
                <w:top w:val="none" w:sz="0" w:space="0" w:color="auto"/>
                <w:left w:val="none" w:sz="0" w:space="0" w:color="auto"/>
                <w:bottom w:val="none" w:sz="0" w:space="0" w:color="auto"/>
                <w:right w:val="none" w:sz="0" w:space="0" w:color="auto"/>
              </w:divBdr>
              <w:divsChild>
                <w:div w:id="130515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06839">
      <w:bodyDiv w:val="1"/>
      <w:marLeft w:val="0"/>
      <w:marRight w:val="0"/>
      <w:marTop w:val="0"/>
      <w:marBottom w:val="0"/>
      <w:divBdr>
        <w:top w:val="none" w:sz="0" w:space="0" w:color="auto"/>
        <w:left w:val="none" w:sz="0" w:space="0" w:color="auto"/>
        <w:bottom w:val="none" w:sz="0" w:space="0" w:color="auto"/>
        <w:right w:val="none" w:sz="0" w:space="0" w:color="auto"/>
      </w:divBdr>
      <w:divsChild>
        <w:div w:id="1196383237">
          <w:marLeft w:val="0"/>
          <w:marRight w:val="0"/>
          <w:marTop w:val="0"/>
          <w:marBottom w:val="0"/>
          <w:divBdr>
            <w:top w:val="none" w:sz="0" w:space="0" w:color="auto"/>
            <w:left w:val="none" w:sz="0" w:space="0" w:color="auto"/>
            <w:bottom w:val="none" w:sz="0" w:space="0" w:color="auto"/>
            <w:right w:val="none" w:sz="0" w:space="0" w:color="auto"/>
          </w:divBdr>
          <w:divsChild>
            <w:div w:id="708800762">
              <w:marLeft w:val="0"/>
              <w:marRight w:val="0"/>
              <w:marTop w:val="0"/>
              <w:marBottom w:val="0"/>
              <w:divBdr>
                <w:top w:val="none" w:sz="0" w:space="0" w:color="auto"/>
                <w:left w:val="none" w:sz="0" w:space="0" w:color="auto"/>
                <w:bottom w:val="none" w:sz="0" w:space="0" w:color="auto"/>
                <w:right w:val="none" w:sz="0" w:space="0" w:color="auto"/>
              </w:divBdr>
              <w:divsChild>
                <w:div w:id="63375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16822">
      <w:bodyDiv w:val="1"/>
      <w:marLeft w:val="0"/>
      <w:marRight w:val="0"/>
      <w:marTop w:val="0"/>
      <w:marBottom w:val="0"/>
      <w:divBdr>
        <w:top w:val="none" w:sz="0" w:space="0" w:color="auto"/>
        <w:left w:val="none" w:sz="0" w:space="0" w:color="auto"/>
        <w:bottom w:val="none" w:sz="0" w:space="0" w:color="auto"/>
        <w:right w:val="none" w:sz="0" w:space="0" w:color="auto"/>
      </w:divBdr>
    </w:div>
    <w:div w:id="2038237902">
      <w:bodyDiv w:val="1"/>
      <w:marLeft w:val="0"/>
      <w:marRight w:val="0"/>
      <w:marTop w:val="0"/>
      <w:marBottom w:val="0"/>
      <w:divBdr>
        <w:top w:val="none" w:sz="0" w:space="0" w:color="auto"/>
        <w:left w:val="none" w:sz="0" w:space="0" w:color="auto"/>
        <w:bottom w:val="none" w:sz="0" w:space="0" w:color="auto"/>
        <w:right w:val="none" w:sz="0" w:space="0" w:color="auto"/>
      </w:divBdr>
    </w:div>
    <w:div w:id="2044674678">
      <w:bodyDiv w:val="1"/>
      <w:marLeft w:val="0"/>
      <w:marRight w:val="0"/>
      <w:marTop w:val="0"/>
      <w:marBottom w:val="0"/>
      <w:divBdr>
        <w:top w:val="none" w:sz="0" w:space="0" w:color="auto"/>
        <w:left w:val="none" w:sz="0" w:space="0" w:color="auto"/>
        <w:bottom w:val="none" w:sz="0" w:space="0" w:color="auto"/>
        <w:right w:val="none" w:sz="0" w:space="0" w:color="auto"/>
      </w:divBdr>
    </w:div>
    <w:div w:id="20629746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data.europa.eu/eli/dir/2014/25/oj" TargetMode="External"/><Relationship Id="rId26" Type="http://schemas.openxmlformats.org/officeDocument/2006/relationships/hyperlink" Target="https://sparenergi.dk/offentlig/indkoeb-og-adfaerd/indkoebsanbefalinger/belysning" TargetMode="External"/><Relationship Id="rId39" Type="http://schemas.openxmlformats.org/officeDocument/2006/relationships/hyperlink" Target="http://www.ihobe.eus/compra-publica-verde" TargetMode="External"/><Relationship Id="rId21" Type="http://schemas.openxmlformats.org/officeDocument/2006/relationships/hyperlink" Target="http://ec.europa.eu/environment/gpp/eu_gpp_criteria_en.htm" TargetMode="External"/><Relationship Id="rId34" Type="http://schemas.openxmlformats.org/officeDocument/2006/relationships/image" Target="media/image4.jpg"/><Relationship Id="rId42" Type="http://schemas.openxmlformats.org/officeDocument/2006/relationships/image" Target="media/image5.png"/><Relationship Id="rId47" Type="http://schemas.openxmlformats.org/officeDocument/2006/relationships/hyperlink" Target="http://ec.europa.eu/environment/gpp/pdf/SF_SSSUP_ELCC.xlsm" TargetMode="External"/><Relationship Id="rId50" Type="http://schemas.openxmlformats.org/officeDocument/2006/relationships/hyperlink" Target="mailto:els.verwimp@vlaanderen.be" TargetMode="External"/><Relationship Id="rId55"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ec.europa.eu/transport/sites/transport/files/handbook_on_external_costs_of_transport_2014_0.pdf" TargetMode="External"/><Relationship Id="rId11" Type="http://schemas.openxmlformats.org/officeDocument/2006/relationships/footer" Target="footer1.xml"/><Relationship Id="rId24" Type="http://schemas.openxmlformats.org/officeDocument/2006/relationships/hyperlink" Target="http://www.ihobe.eus/criterios-ambientales" TargetMode="External"/><Relationship Id="rId32" Type="http://schemas.openxmlformats.org/officeDocument/2006/relationships/hyperlink" Target="http://data.europa.eu/eli/dir/2012/19/oj" TargetMode="External"/><Relationship Id="rId37" Type="http://schemas.openxmlformats.org/officeDocument/2006/relationships/header" Target="header8.xml"/><Relationship Id="rId40" Type="http://schemas.openxmlformats.org/officeDocument/2006/relationships/hyperlink" Target="http://ec.europa.eu/environment/gpp/case_group_en.htm" TargetMode="External"/><Relationship Id="rId45" Type="http://schemas.openxmlformats.org/officeDocument/2006/relationships/hyperlink" Target="https://ec.europa.eu/environment/gpp/lcc.htm"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boe.es/buscar/act.php?id=BOE-A-2017-1290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ihobe.eus/criterios-ambientales" TargetMode="External"/><Relationship Id="rId27" Type="http://schemas.openxmlformats.org/officeDocument/2006/relationships/hyperlink" Target="https://assets.publishing.service.gov.uk/government/uploads/system/uploads/attachment_data/file/482101/gbs-lamps-2015.pdf" TargetMode="External"/><Relationship Id="rId30" Type="http://schemas.openxmlformats.org/officeDocument/2006/relationships/hyperlink" Target="http://data.europa.eu/eli/dir/2014/24/oj" TargetMode="External"/><Relationship Id="rId35" Type="http://schemas.openxmlformats.org/officeDocument/2006/relationships/header" Target="header7.xml"/><Relationship Id="rId43" Type="http://schemas.openxmlformats.org/officeDocument/2006/relationships/image" Target="media/image6.png"/><Relationship Id="rId48" Type="http://schemas.openxmlformats.org/officeDocument/2006/relationships/hyperlink" Target="https://www.upphandlingsmyndigheten.se/globalassets/omraden/uhm_lcc_tool_indoor-lighting_vers-1.0.xlsm" TargetMode="External"/><Relationship Id="rId56"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hyperlink" Target="http://lcdn.thinkstep.co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eur-lex.europa.eu/eli/dir/2014/24/oj" TargetMode="External"/><Relationship Id="rId25" Type="http://schemas.openxmlformats.org/officeDocument/2006/relationships/hyperlink" Target="http://www.premiumlightpro.eu/fileadmin/user_upload/Guidelines/Premium_Light_Pro_Indoor_LED_Guidelines.pdf" TargetMode="External"/><Relationship Id="rId33" Type="http://schemas.openxmlformats.org/officeDocument/2006/relationships/hyperlink" Target="http://ec.europa.eu/environment/gpp/pdf/news_alert/Issue73_Case_Study_146_Syddjurs.pdf" TargetMode="External"/><Relationship Id="rId38" Type="http://schemas.openxmlformats.org/officeDocument/2006/relationships/footer" Target="footer6.xml"/><Relationship Id="rId46" Type="http://schemas.openxmlformats.org/officeDocument/2006/relationships/hyperlink" Target="http://ec.europa.eu/environment/gpp/pdf/LCC_tool_technical_specifications.pdf" TargetMode="External"/><Relationship Id="rId20" Type="http://schemas.openxmlformats.org/officeDocument/2006/relationships/header" Target="header5.xml"/><Relationship Id="rId41" Type="http://schemas.openxmlformats.org/officeDocument/2006/relationships/hyperlink" Target="http://ec.europa.eu/environment/gpp/alert_en.htm" TargetMode="External"/><Relationship Id="rId54" Type="http://schemas.openxmlformats.org/officeDocument/2006/relationships/image" Target="media/image7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yperlink" Target="http://www.topten.eu/uploads/File/Recommendations_Lighting_Nov13.pdf" TargetMode="External"/><Relationship Id="rId36" Type="http://schemas.openxmlformats.org/officeDocument/2006/relationships/footer" Target="footer5.xml"/><Relationship Id="rId49" Type="http://schemas.openxmlformats.org/officeDocument/2006/relationships/hyperlink" Target="https://mst.dk/media/94901/miljoeministeriet_vaerktoej_tco_belysning_final_til-layout.xlsx" TargetMode="Externa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www.boe.es/buscar/act.php?id=BOE-A-2017-12902" TargetMode="External"/><Relationship Id="rId44" Type="http://schemas.openxmlformats.org/officeDocument/2006/relationships/header" Target="header9.xml"/><Relationship Id="rId52" Type="http://schemas.openxmlformats.org/officeDocument/2006/relationships/image" Target="media/image7.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hyperlink" Target="http://www.ecoinstitut.es"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1D666-77BA-2144-A905-95935206F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14</Pages>
  <Words>5600</Words>
  <Characters>30801</Characters>
  <Application>Microsoft Office Word</Application>
  <DocSecurity>0</DocSecurity>
  <Lines>256</Lines>
  <Paragraphs>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36329</CharactersWithSpaces>
  <SharedDoc>false</SharedDoc>
  <HLinks>
    <vt:vector size="24" baseType="variant">
      <vt:variant>
        <vt:i4>6291472</vt:i4>
      </vt:variant>
      <vt:variant>
        <vt:i4>6</vt:i4>
      </vt:variant>
      <vt:variant>
        <vt:i4>0</vt:i4>
      </vt:variant>
      <vt:variant>
        <vt:i4>5</vt:i4>
      </vt:variant>
      <vt:variant>
        <vt:lpwstr>http://ec.europa.eu/environment/gpp/alert_en.htm</vt:lpwstr>
      </vt:variant>
      <vt:variant>
        <vt:lpwstr/>
      </vt:variant>
      <vt:variant>
        <vt:i4>589902</vt:i4>
      </vt:variant>
      <vt:variant>
        <vt:i4>3</vt:i4>
      </vt:variant>
      <vt:variant>
        <vt:i4>0</vt:i4>
      </vt:variant>
      <vt:variant>
        <vt:i4>5</vt:i4>
      </vt:variant>
      <vt:variant>
        <vt:lpwstr>http://ec.europa.eu/environment/gpp/case_group_en.htm</vt:lpwstr>
      </vt:variant>
      <vt:variant>
        <vt:lpwstr/>
      </vt:variant>
      <vt:variant>
        <vt:i4>1704032</vt:i4>
      </vt:variant>
      <vt:variant>
        <vt:i4>0</vt:i4>
      </vt:variant>
      <vt:variant>
        <vt:i4>0</vt:i4>
      </vt:variant>
      <vt:variant>
        <vt:i4>5</vt:i4>
      </vt:variant>
      <vt:variant>
        <vt:lpwstr>http://ec.europa.eu/environment/gpp/eu_gpp_criteria_en.htm</vt:lpwstr>
      </vt:variant>
      <vt:variant>
        <vt:lpwstr/>
      </vt:variant>
      <vt:variant>
        <vt:i4>7405672</vt:i4>
      </vt:variant>
      <vt:variant>
        <vt:i4>3</vt:i4>
      </vt:variant>
      <vt:variant>
        <vt:i4>0</vt:i4>
      </vt:variant>
      <vt:variant>
        <vt:i4>5</vt:i4>
      </vt:variant>
      <vt:variant>
        <vt:lpwstr>http://www.ecoinstitut.es/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Gorane Ibarra</cp:lastModifiedBy>
  <cp:revision>11</cp:revision>
  <cp:lastPrinted>2018-11-29T09:05:00Z</cp:lastPrinted>
  <dcterms:created xsi:type="dcterms:W3CDTF">2019-11-06T08:20:00Z</dcterms:created>
  <dcterms:modified xsi:type="dcterms:W3CDTF">2021-03-18T13:18:00Z</dcterms:modified>
</cp:coreProperties>
</file>